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Приложение №1 к Документации о закупке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оказание услуг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tabs>
          <w:tab w:val="left" w:pos="3105" w:leader="none"/>
        </w:tabs>
        <w:rPr>
          <w:sz w:val="24"/>
          <w:szCs w:val="24"/>
          <w:highlight w:val="none"/>
          <w14:ligatures w14:val="none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t xml:space="preserve">ОКПД2 33.13.19 Оказание услуг по регламентированному обслуживанию  датчиков вибрации для ТЭЦ Восточная, г. Владивосток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  <w14:ligatures w14:val="none"/>
        </w:rPr>
      </w:r>
    </w:p>
    <w:p>
      <w:pPr>
        <w:jc w:val="center"/>
        <w:tabs>
          <w:tab w:val="left" w:pos="3105" w:leader="none"/>
        </w:tabs>
        <w:rPr>
          <w:sz w:val="24"/>
          <w:szCs w:val="24"/>
          <w14:ligatures w14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72"/>
        <w:jc w:val="center"/>
        <w:widowControl w:val="off"/>
        <w:tabs>
          <w:tab w:val="left" w:pos="6702" w:leader="none"/>
          <w:tab w:val="left" w:pos="6936" w:leader="none"/>
        </w:tabs>
        <w:rPr>
          <w:rFonts w:eastAsia="Calibri"/>
          <w:b/>
          <w:i/>
          <w:sz w:val="24"/>
          <w:szCs w:val="24"/>
        </w:rPr>
      </w:pPr>
      <w:r>
        <w:rPr>
          <w:rFonts w:eastAsia="Calibri"/>
          <w:sz w:val="24"/>
          <w:szCs w:val="24"/>
        </w:rPr>
        <w:t xml:space="preserve">(Лот № </w:t>
      </w:r>
      <w:r>
        <w:rPr>
          <w:rFonts w:eastAsia="Calibri"/>
          <w:sz w:val="24"/>
          <w:szCs w:val="24"/>
        </w:rPr>
        <w:t xml:space="preserve">41038020-ТО ПРОД-2026-ДГК-ВосТЭЦ</w:t>
      </w:r>
      <w:r>
        <w:rPr>
          <w:rFonts w:eastAsia="Calibri"/>
          <w:sz w:val="24"/>
          <w:szCs w:val="24"/>
        </w:rPr>
        <w:t xml:space="preserve">)</w:t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3105" w:leader="none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СОДЕРЖАНИЕ 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p>
      <w:pPr>
        <w:jc w:val="center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  <w:r>
        <w:rPr>
          <w:b/>
          <w:sz w:val="24"/>
          <w:szCs w:val="24"/>
          <w:highlight w:val="yellow"/>
        </w:rPr>
      </w:r>
    </w:p>
    <w:tbl>
      <w:tblPr>
        <w:tblStyle w:val="1158"/>
        <w:tblW w:w="9354" w:type="dxa"/>
        <w:tblLayout w:type="fixed"/>
        <w:tblLook w:val="04A0" w:firstRow="1" w:lastRow="0" w:firstColumn="1" w:lastColumn="0" w:noHBand="0" w:noVBand="1"/>
      </w:tblPr>
      <w:tblGrid>
        <w:gridCol w:w="755"/>
        <w:gridCol w:w="7959"/>
        <w:gridCol w:w="64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сведения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1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1. Перечень объектов заказчика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продукции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  <w:highlight w:val="yellow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объемам и срокам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видам и объемам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1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2. Перечень и объем выполняемых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срокам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14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3. Требования по срокам выполнения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качеству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1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 4. Требования к качеству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959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Приложения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eastAsia="Calibri"/>
          <w:b/>
          <w:bCs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pStyle w:val="87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1. Общие сведения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1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</w:r>
      <w:bookmarkStart w:id="0" w:name="_Toc54643696"/>
      <w:r>
        <w:rPr>
          <w:sz w:val="24"/>
          <w:szCs w:val="24"/>
        </w:rPr>
      </w:r>
      <w:bookmarkStart w:id="1" w:name="_Toc46743506"/>
      <w:r>
        <w:rPr>
          <w:sz w:val="24"/>
          <w:szCs w:val="24"/>
        </w:rPr>
        <w:t xml:space="preserve">Наименование закупаемой продукции</w:t>
      </w:r>
      <w:bookmarkEnd w:id="0"/>
      <w:r>
        <w:rPr>
          <w:sz w:val="24"/>
          <w:szCs w:val="24"/>
        </w:rPr>
      </w:r>
      <w:bookmarkEnd w:id="1"/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firstLine="708"/>
        <w:jc w:val="both"/>
        <w:spacing w:before="0" w:after="0" w:line="276" w:lineRule="auto"/>
        <w:rPr>
          <w:sz w:val="24"/>
          <w:szCs w:val="24"/>
        </w:rPr>
      </w:pPr>
      <w:r>
        <w:rPr>
          <w:sz w:val="24"/>
          <w:szCs w:val="24"/>
        </w:rPr>
      </w:r>
      <w:bookmarkStart w:id="2" w:name="_Toc46743507"/>
      <w:r>
        <w:rPr>
          <w:sz w:val="24"/>
          <w:szCs w:val="24"/>
        </w:rPr>
        <w:t xml:space="preserve">Оказание услуг по регламентированному обслуживанию  датчиков вибрации для ТЭЦ Восточная, г. Владивосток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1"/>
        <w:numPr>
          <w:ilvl w:val="1"/>
          <w:numId w:val="4"/>
        </w:numPr>
        <w:ind w:left="431" w:hanging="431"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Цель </w:t>
      </w:r>
      <w:bookmarkEnd w:id="2"/>
      <w:r>
        <w:rPr>
          <w:sz w:val="24"/>
          <w:szCs w:val="24"/>
        </w:rPr>
        <w:t xml:space="preserve">оказания услуг: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firstLine="708"/>
        <w:jc w:val="both"/>
        <w:spacing w:before="0" w:after="0" w:line="276" w:lineRule="auto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Обеспечение потребности станции в получении объективных, достоверных и сопоставимых результатов измерений параметров механического состояния оборудования, используемого в процессе производства тепловой и электрической энергии.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86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3" w:name="_Toc54643699"/>
      <w:r>
        <w:rPr>
          <w:sz w:val="24"/>
          <w:szCs w:val="24"/>
        </w:rPr>
        <w:t xml:space="preserve">Таблица 1. Перечень объектов заказчика</w:t>
      </w:r>
      <w:bookmarkEnd w:id="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33"/>
        <w:gridCol w:w="3153"/>
        <w:gridCol w:w="2127"/>
        <w:gridCol w:w="2620"/>
        <w:gridCol w:w="152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 xml:space="preserve">(место оказания услуг)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оказываются услуги)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6"/>
              </w:num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измерения среднеквадратичных значений виброскорости насосов первого сетевого района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ind w:right="72"/>
              <w:widowControl w:val="off"/>
              <w:tabs>
                <w:tab w:val="left" w:pos="6702" w:leader="none"/>
                <w:tab w:val="left" w:pos="6936" w:leader="none"/>
              </w:tabs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Приморский край, г. Владивосток, ул. Снеговая, 22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jc w:val="center"/>
              <w:widowControl w:val="off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Насосы первого сетевого района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textDirection w:val="lrTb"/>
            <w:noWrap w:val="false"/>
          </w:tcPr>
          <w:p>
            <w:pPr>
              <w:jc w:val="center"/>
              <w:widowControl w:val="off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 «ТЭЦ Восточная»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6"/>
              </w:num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3" w:type="dxa"/>
            <w:textDirection w:val="lrTb"/>
            <w:noWrap w:val="false"/>
          </w:tcPr>
          <w:p>
            <w:pPr>
              <w:ind w:right="72"/>
              <w:jc w:val="both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измерения среднеквадратичных значений виброскорости насосов второго сетевого района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ind w:right="72"/>
              <w:widowControl w:val="off"/>
              <w:tabs>
                <w:tab w:val="left" w:pos="6702" w:leader="none"/>
                <w:tab w:val="left" w:pos="693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Приморский край, г. Владивосток, ул. Снеговая, 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20" w:type="dxa"/>
            <w:textDirection w:val="lrTb"/>
            <w:noWrap w:val="false"/>
          </w:tcPr>
          <w:p>
            <w:pPr>
              <w:jc w:val="center"/>
              <w:widowControl w:val="off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Насосы второго сетевого района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 «ТЭЦ Восточная»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</w:tbl>
    <w:p>
      <w:pPr>
        <w:rPr>
          <w:b/>
          <w:sz w:val="24"/>
          <w:szCs w:val="24"/>
        </w:rPr>
      </w:pPr>
      <w:r>
        <w:rPr>
          <w:sz w:val="24"/>
          <w:szCs w:val="24"/>
        </w:rPr>
      </w:r>
      <w:bookmarkStart w:id="4" w:name="_Toc54643700"/>
      <w:r>
        <w:rPr>
          <w:sz w:val="24"/>
          <w:szCs w:val="24"/>
        </w:rPr>
      </w:r>
      <w:bookmarkStart w:id="5" w:name="_Hlk49857604"/>
      <w:r>
        <w:rPr>
          <w:sz w:val="24"/>
          <w:szCs w:val="24"/>
        </w:rPr>
      </w:r>
      <w:bookmarkStart w:id="6" w:name="_Toc46743509"/>
      <w:r>
        <w:rPr>
          <w:sz w:val="24"/>
          <w:szCs w:val="24"/>
        </w:rPr>
      </w:r>
      <w:bookmarkStart w:id="7" w:name="_Toc54643702"/>
      <w:r>
        <w:rPr>
          <w:sz w:val="24"/>
          <w:szCs w:val="24"/>
        </w:rPr>
      </w:r>
      <w:bookmarkStart w:id="8" w:name="_Toc51339693"/>
      <w:r>
        <w:rPr>
          <w:sz w:val="24"/>
          <w:szCs w:val="24"/>
        </w:rPr>
      </w:r>
      <w:bookmarkEnd w:id="4"/>
      <w:r>
        <w:rPr>
          <w:sz w:val="24"/>
          <w:szCs w:val="24"/>
        </w:rPr>
      </w:r>
      <w:bookmarkEnd w:id="5"/>
      <w:r>
        <w:rPr>
          <w:sz w:val="24"/>
          <w:szCs w:val="24"/>
        </w:rPr>
      </w:r>
      <w:bookmarkEnd w:id="6"/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Описание и основные технические характеристики оборудования и требований, включающее в себя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jc w:val="both"/>
        <w:spacing w:before="0" w:after="0" w:line="276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Система измерения виброскорости первого сетевого района (шесть насосов), в составе: 6 датчиков скорости, 54 преобразовате</w:t>
      </w:r>
      <w:r>
        <w:rPr>
          <w:sz w:val="24"/>
          <w:szCs w:val="24"/>
        </w:rPr>
        <w:t xml:space="preserve">ля</w:t>
      </w:r>
      <w:r>
        <w:rPr>
          <w:sz w:val="24"/>
          <w:szCs w:val="24"/>
        </w:rPr>
        <w:t xml:space="preserve"> вибрации, оборудования шкафа управления на базе программно-технического комплекса «Овация», в которой задействовано 60 каналов измерения (предназначенного для сбора, обработки информации с датчиков вибрации и передачи его на верхний уровень ПТК «Овация»).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jc w:val="both"/>
        <w:spacing w:before="0" w:after="0"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  <w:t xml:space="preserve">1.2. Система измерения виброскорости второго сетевого района (три </w:t>
      </w:r>
      <w:r>
        <w:rPr>
          <w:sz w:val="24"/>
          <w:szCs w:val="24"/>
        </w:rPr>
        <w:t xml:space="preserve">программно-технического комплекса</w:t>
      </w:r>
      <w:r>
        <w:rPr>
          <w:sz w:val="24"/>
          <w:szCs w:val="24"/>
        </w:rPr>
        <w:t xml:space="preserve">, в составе: 3 датчика скорости, 27 преобразователя </w:t>
      </w:r>
      <w:r>
        <w:rPr>
          <w:sz w:val="24"/>
          <w:szCs w:val="24"/>
        </w:rPr>
        <w:t xml:space="preserve">вибрации, оборудования шкафа управления на базе </w:t>
      </w:r>
      <w:r>
        <w:rPr>
          <w:sz w:val="24"/>
          <w:szCs w:val="24"/>
        </w:rPr>
        <w:t xml:space="preserve">программно-технического комплекса</w:t>
      </w:r>
      <w:r>
        <w:rPr>
          <w:sz w:val="24"/>
          <w:szCs w:val="24"/>
        </w:rPr>
        <w:t xml:space="preserve"> «Овация», в которой задействовано 30 каналов измерения (предназначенного для сбора, обработки информации с датчиков вибрации и передачи его на верхний уровень ПТК «Овация»).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8"/>
        <w:numPr>
          <w:ilvl w:val="0"/>
          <w:numId w:val="4"/>
        </w:numPr>
        <w:ind w:left="0" w:firstLine="0"/>
        <w:keepLines/>
        <w:rPr>
          <w:caps/>
          <w:sz w:val="24"/>
          <w:szCs w:val="24"/>
        </w:rPr>
      </w:pPr>
      <w:r>
        <w:rPr>
          <w:iCs/>
          <w:sz w:val="24"/>
          <w:szCs w:val="24"/>
        </w:rPr>
        <w:t xml:space="preserve">Требования к продукции</w:t>
      </w:r>
      <w:bookmarkEnd w:id="7"/>
      <w:r>
        <w:rPr>
          <w:sz w:val="24"/>
          <w:szCs w:val="24"/>
        </w:rPr>
      </w:r>
      <w:bookmarkEnd w:id="8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871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</w:r>
      <w:bookmarkStart w:id="9" w:name="_Toc54643703"/>
      <w:r>
        <w:rPr>
          <w:sz w:val="24"/>
          <w:szCs w:val="24"/>
        </w:rPr>
        <w:t xml:space="preserve">Требования к объемам и срокам оказания услуг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numPr>
          <w:ilvl w:val="2"/>
          <w:numId w:val="4"/>
        </w:numPr>
        <w:contextualSpacing w:val="0"/>
        <w:jc w:val="left"/>
        <w:spacing w:before="120" w:after="119"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bookmarkStart w:id="10" w:name="_Toc54643704"/>
      <w:r>
        <w:rPr>
          <w:sz w:val="24"/>
          <w:szCs w:val="24"/>
        </w:rPr>
        <w:t xml:space="preserve">Требования к перечню и объему услуг</w:t>
      </w:r>
      <w:bookmarkEnd w:id="1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</w:r>
      <w:bookmarkStart w:id="11" w:name="_Toc51339695"/>
      <w:r>
        <w:rPr>
          <w:sz w:val="24"/>
          <w:szCs w:val="24"/>
        </w:rPr>
      </w:r>
      <w:bookmarkStart w:id="12" w:name="_Toc54643705"/>
      <w:r>
        <w:rPr>
          <w:sz w:val="24"/>
          <w:szCs w:val="24"/>
        </w:rPr>
        <w:t xml:space="preserve">Таблица 2. Перечень </w:t>
      </w:r>
      <w:bookmarkEnd w:id="11"/>
      <w:r>
        <w:rPr>
          <w:sz w:val="24"/>
          <w:szCs w:val="24"/>
        </w:rPr>
        <w:t xml:space="preserve">и объем оказываемых услуг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1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26"/>
        <w:gridCol w:w="4945"/>
        <w:gridCol w:w="1745"/>
        <w:gridCol w:w="2596"/>
      </w:tblGrid>
      <w:tr>
        <w:tblPrEx/>
        <w:trPr>
          <w:trHeight w:val="6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45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5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6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45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5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6" w:type="dxa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5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7"/>
              </w:num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45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Оказание услуг по регламентированному обслуживанию  датчиков вибрации для ТЭЦ Восточная, г. Владивосток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1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соответствии с ведомостью объемов услуг (Приложение №1 к настоящим Техническим требованиям)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70"/>
        <w:numPr>
          <w:ilvl w:val="0"/>
          <w:numId w:val="0"/>
        </w:numPr>
        <w:ind w:left="720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bookmarkStart w:id="13" w:name="_Toc51339696"/>
      <w:r>
        <w:rPr>
          <w:sz w:val="24"/>
          <w:szCs w:val="24"/>
        </w:rPr>
      </w:r>
      <w:bookmarkStart w:id="14" w:name="_Toc546437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numPr>
          <w:ilvl w:val="2"/>
          <w:numId w:val="4"/>
        </w:numPr>
        <w:contextualSpacing w:val="0"/>
        <w:jc w:val="left"/>
        <w:spacing w:before="0" w:after="119"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Требования </w:t>
      </w:r>
      <w:bookmarkEnd w:id="13"/>
      <w:r>
        <w:rPr>
          <w:sz w:val="24"/>
          <w:szCs w:val="24"/>
        </w:rPr>
        <w:t xml:space="preserve">к срокам оказания услуг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8"/>
        <w:numPr>
          <w:ilvl w:val="0"/>
          <w:numId w:val="0"/>
        </w:numPr>
        <w:keepLines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bookmarkStart w:id="15" w:name="_Toc51339697"/>
      <w:r>
        <w:rPr>
          <w:sz w:val="24"/>
          <w:szCs w:val="24"/>
        </w:rPr>
      </w:r>
      <w:bookmarkStart w:id="16" w:name="_Toc50125127"/>
      <w:r>
        <w:rPr>
          <w:sz w:val="24"/>
          <w:szCs w:val="24"/>
        </w:rPr>
      </w:r>
      <w:bookmarkStart w:id="17" w:name="_Toc54643707"/>
      <w:r>
        <w:rPr>
          <w:sz w:val="24"/>
          <w:szCs w:val="24"/>
        </w:rPr>
        <w:t xml:space="preserve">Таблица 3. </w:t>
      </w:r>
      <w:bookmarkStart w:id="18" w:name="_Hlk50465284"/>
      <w:r>
        <w:rPr>
          <w:sz w:val="24"/>
          <w:szCs w:val="24"/>
        </w:rPr>
        <w:t xml:space="preserve">Требования к срокам </w:t>
      </w:r>
      <w:bookmarkEnd w:id="15"/>
      <w:r>
        <w:rPr>
          <w:sz w:val="24"/>
          <w:szCs w:val="24"/>
        </w:rPr>
      </w:r>
      <w:bookmarkEnd w:id="16"/>
      <w:r>
        <w:rPr>
          <w:sz w:val="24"/>
          <w:szCs w:val="24"/>
        </w:rPr>
      </w:r>
      <w:bookmarkEnd w:id="18"/>
      <w:r>
        <w:rPr>
          <w:sz w:val="24"/>
          <w:szCs w:val="24"/>
        </w:rPr>
        <w:t xml:space="preserve">оказания услуг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3465"/>
        <w:gridCol w:w="2127"/>
        <w:gridCol w:w="2268"/>
        <w:gridCol w:w="1530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 / этапа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101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101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1010"/>
              <w:ind w:left="0"/>
              <w:jc w:val="center"/>
              <w:keepNext w:val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8"/>
              </w:num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5" w:type="dxa"/>
            <w:textDirection w:val="lrTb"/>
            <w:noWrap w:val="false"/>
          </w:tcPr>
          <w:p>
            <w:pPr>
              <w:jc w:val="left"/>
              <w:widowControl w:val="off"/>
              <w:tabs>
                <w:tab w:val="left" w:pos="321" w:leader="none"/>
              </w:tabs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Оказание услуг по регламентированному обслуживанию  датчиков вибрации для ТЭЦ Восточная, г. Владивосток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подписания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5 месяцев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321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711" w:right="851" w:bottom="820" w:left="1701" w:header="680" w:footer="0" w:gutter="0"/>
          <w:cols w:num="1" w:sep="0" w:space="720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1"/>
        <w:numPr>
          <w:ilvl w:val="1"/>
          <w:numId w:val="4"/>
        </w:numPr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Требования к качеству услуг</w:t>
      </w:r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68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качеству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321" w:leader="none"/>
        </w:tabs>
        <w:rPr>
          <w:rStyle w:val="944"/>
          <w:b w:val="0"/>
          <w:i w:val="0"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 1 Таблицы 2): </w:t>
      </w:r>
      <w:r>
        <w:rPr>
          <w:color w:val="000000" w:themeColor="text1"/>
          <w:sz w:val="24"/>
          <w:szCs w:val="24"/>
        </w:rPr>
        <w:t xml:space="preserve">ОКПД2 33.13.19 Оказание услуг по регламентированному обслуживанию  датчиков вибрации для ТЭЦ Восточная, г. Владивосток</w:t>
      </w:r>
      <w:r>
        <w:rPr>
          <w:rStyle w:val="944"/>
          <w:b w:val="0"/>
          <w:i w:val="0"/>
          <w:sz w:val="24"/>
          <w:szCs w:val="24"/>
        </w:rPr>
      </w:r>
      <w:r>
        <w:rPr>
          <w:rStyle w:val="944"/>
          <w:b w:val="0"/>
          <w:i w:val="0"/>
          <w:sz w:val="24"/>
          <w:szCs w:val="24"/>
        </w:rPr>
      </w:r>
    </w:p>
    <w:p>
      <w:pPr>
        <w:rPr>
          <w:rStyle w:val="944"/>
          <w:iCs/>
          <w:sz w:val="24"/>
          <w:szCs w:val="24"/>
        </w:rPr>
      </w:pPr>
      <w:r>
        <w:rPr>
          <w:iCs/>
          <w:sz w:val="24"/>
          <w:szCs w:val="24"/>
        </w:rPr>
      </w:r>
      <w:r>
        <w:rPr>
          <w:rStyle w:val="944"/>
          <w:iCs/>
          <w:sz w:val="24"/>
          <w:szCs w:val="24"/>
        </w:rPr>
      </w:r>
      <w:r>
        <w:rPr>
          <w:rStyle w:val="944"/>
          <w:iCs/>
          <w:sz w:val="24"/>
          <w:szCs w:val="24"/>
        </w:rPr>
      </w:r>
    </w:p>
    <w:tbl>
      <w:tblPr>
        <w:tblStyle w:val="1158"/>
        <w:tblW w:w="151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48"/>
        <w:gridCol w:w="3087"/>
        <w:gridCol w:w="5363"/>
        <w:gridCol w:w="1983"/>
        <w:gridCol w:w="1844"/>
      </w:tblGrid>
      <w:tr>
        <w:tblPrEx/>
        <w:trPr/>
        <w:tc>
          <w:tcPr>
            <w:tcW w:w="1048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08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6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087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57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36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8450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84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требования к оказанию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087" w:type="dxa"/>
            <w:textDirection w:val="lrTb"/>
            <w:noWrap w:val="false"/>
          </w:tcPr>
          <w:p>
            <w:pPr>
              <w:jc w:val="both"/>
              <w:tabs>
                <w:tab w:val="left" w:pos="321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При оказании услуг должны соблюдаться требования следующих нормативных документов: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shd w:val="clear" w:color="auto" w:fill="auto"/>
            <w:tcW w:w="5363" w:type="dxa"/>
            <w:vAlign w:val="center"/>
            <w:textDirection w:val="lrTb"/>
            <w:noWrap w:val="false"/>
          </w:tcPr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left" w:pos="32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Приказ Минэнерго России от 25.10.2017 N 1013 "Об утверждении требований к обеспечению надежнос</w:t>
            </w:r>
            <w:r>
              <w:rPr>
                <w:sz w:val="24"/>
                <w:szCs w:val="24"/>
                <w:highlight w:val="white"/>
              </w:rPr>
              <w:t xml:space="preserve">ти электроэнергетических систем, надежности и безопасности объектов электроэнергетики и энергопринимающих установок "Правила организации технического обслуживания и ремонта объектов э</w:t>
            </w:r>
            <w:r>
              <w:rPr>
                <w:sz w:val="24"/>
                <w:szCs w:val="24"/>
                <w:highlight w:val="white"/>
              </w:rPr>
              <w:t xml:space="preserve">лектроэнергетики" (Зарегистрировано в Минюсте России 26.03.2018 N 50503);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left" w:pos="32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ФЗ № 102 «Об обеспечении единства измерений» от 26.06.2008;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left" w:pos="32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 Р 8.674-2009. Государственная система обеспечения единства измерений. Общие требования к средствам измерений и техническим системам, и устройствам с измерительными функциями.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left" w:pos="32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Руководство по эксплуатации: «Система вибромониторинга сетевых насосов» 71301300.И1;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left" w:pos="32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ГОСТ Р</w:t>
            </w:r>
            <w:r>
              <w:rPr>
                <w:sz w:val="24"/>
                <w:szCs w:val="24"/>
                <w:highlight w:val="white"/>
              </w:rPr>
              <w:t xml:space="preserve"> 8.669-2009 «Виброметры с пьезоэлектрическими, индукционными и вихретоковыми преобразователями. Методика поверки»;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left" w:pos="32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Руководство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по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эксплуатации</w:t>
            </w:r>
            <w:r>
              <w:rPr>
                <w:sz w:val="24"/>
                <w:szCs w:val="24"/>
                <w:highlight w:val="white"/>
                <w:lang w:val="en-US"/>
              </w:rPr>
              <w:t xml:space="preserve">: «Machinery Health Monitor User Guide for Ovation 3.6»;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left" w:pos="32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ГОСТ Р 55265.7-2012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 xml:space="preserve">ISO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10816-7:2009) «Вибрация. Контроль состояния машин по измерениям вибрации на невращающихся частях»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clear" w:pos="0" w:leader="none"/>
                <w:tab w:val="left" w:pos="321" w:leader="none"/>
              </w:tabs>
              <w:rPr>
                <w:sz w:val="24"/>
                <w:szCs w:val="24"/>
                <w:highlight w:val="white"/>
                <w14:ligatures w14:val="non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ГОСТ 8.395-80 «Нормальные условия измерений при поверке</w:t>
            </w:r>
            <w:r>
              <w:rPr>
                <w:sz w:val="24"/>
                <w:szCs w:val="24"/>
                <w:highlight w:val="white"/>
              </w:rPr>
              <w:t xml:space="preserve">»;</w:t>
            </w:r>
            <w:r>
              <w:rPr>
                <w:sz w:val="24"/>
                <w:szCs w:val="24"/>
                <w:highlight w:val="white"/>
                <w14:ligatures w14:val="none"/>
              </w:rPr>
            </w:r>
            <w:r>
              <w:rPr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995"/>
              <w:numPr>
                <w:ilvl w:val="0"/>
                <w:numId w:val="15"/>
              </w:numPr>
              <w:ind w:left="0" w:firstLine="0"/>
              <w:jc w:val="both"/>
              <w:tabs>
                <w:tab w:val="clear" w:pos="0" w:leader="none"/>
                <w:tab w:val="left" w:pos="321" w:leader="none"/>
              </w:tabs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  <w:t xml:space="preserve">Положение о допуске персонала подрядных организаций к выполнению работ на объектах АО «ДГК» 22.1-504-2025.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shd w:val="clear" w:color="auto" w:fill="auto"/>
            <w:tcW w:w="2256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Участник должен предоставить в заявке согласи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-</w:t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50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способам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453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Требование к способам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363" w:type="dxa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bidi="ru-RU"/>
              </w:rPr>
              <w:t xml:space="preserve">Услуга оказывается</w:t>
            </w:r>
            <w:r>
              <w:rPr>
                <w:sz w:val="24"/>
                <w:szCs w:val="24"/>
                <w:highlight w:val="white"/>
                <w:lang w:bidi="ru-RU"/>
              </w:rPr>
              <w:t xml:space="preserve"> на территории Заказчика и </w:t>
            </w:r>
            <w:r>
              <w:rPr>
                <w:sz w:val="24"/>
                <w:szCs w:val="24"/>
                <w:highlight w:val="white"/>
                <w:lang w:val="ru-RU" w:bidi="ru-RU"/>
              </w:rPr>
              <w:t xml:space="preserve">выполнятся обученным и аттестованным персоналом, с квалификацией, соответствующей видам оказываемых услуг, имеющим квалификационные удостоверения о проверке знаний ПТБ, ПБ и ПТЭ.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sz w:val="24"/>
                <w:szCs w:val="24"/>
                <w:highlight w:val="white"/>
                <w14:ligatures w14:val="none"/>
              </w:rPr>
            </w:pPr>
            <w:r>
              <w:rPr>
                <w:sz w:val="24"/>
                <w:szCs w:val="24"/>
                <w:highlight w:val="white"/>
                <w:lang w:bidi="ru-RU"/>
              </w:rPr>
            </w:r>
            <w:r>
              <w:rPr>
                <w:sz w:val="24"/>
                <w:szCs w:val="24"/>
                <w:highlight w:val="white"/>
                <w:lang w:bidi="ru-RU"/>
              </w:rPr>
              <w:t xml:space="preserve">Использовать диагностическое оборудование и инструмент исполнителя.</w:t>
            </w:r>
            <w:r>
              <w:rPr>
                <w:sz w:val="24"/>
                <w:szCs w:val="24"/>
                <w:highlight w:val="white"/>
                <w14:ligatures w14:val="none"/>
              </w:rPr>
            </w:r>
            <w:r>
              <w:rPr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-</w:t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  <w:p>
            <w:pPr>
              <w:pStyle w:val="1009"/>
              <w:keepNext w:val="0"/>
              <w:spacing w:before="0"/>
              <w:rPr>
                <w:rFonts w:eastAsia="Times New Roman"/>
                <w:i/>
                <w:sz w:val="24"/>
                <w:szCs w:val="24"/>
              </w:rPr>
              <w:outlineLvl w:val="2"/>
            </w:pPr>
            <w:r>
              <w:rPr>
                <w:rFonts w:eastAsia="Times New Roman"/>
                <w:i/>
                <w:sz w:val="24"/>
                <w:szCs w:val="24"/>
              </w:rPr>
            </w:r>
            <w:r>
              <w:rPr>
                <w:rFonts w:eastAsia="Times New Roman"/>
                <w:i/>
                <w:sz w:val="24"/>
                <w:szCs w:val="24"/>
              </w:rPr>
            </w:r>
            <w:r>
              <w:rPr>
                <w:rFonts w:eastAsia="Times New Roman"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1.3.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8450" w:type="dxa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процедурам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Организационно-технические мероприятия по допуску персонала исполнителя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11"/>
              </w:numPr>
              <w:ind w:left="266" w:hanging="2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Соблюдаются требования, установленные Инструкцией о пропускном и внутриобъектовом режимах на охраняемой территории СП «ТЭЦ «Восточная»;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numPr>
                <w:ilvl w:val="0"/>
                <w:numId w:val="11"/>
              </w:numPr>
              <w:ind w:left="266" w:hanging="266"/>
              <w:jc w:val="both"/>
              <w:rPr>
                <w:i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Соблюдаются требования, установленные Положением о допуске персонала строительно-монтажных организаций и командированного персонала к выполнению работ на объектах АО «ДГК» 22.1-504-2025;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pStyle w:val="995"/>
              <w:numPr>
                <w:ilvl w:val="0"/>
                <w:numId w:val="11"/>
              </w:numPr>
              <w:ind w:left="266" w:hanging="266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Подготовку рабочих мест и допуск к </w:t>
            </w:r>
            <w:r>
              <w:rPr>
                <w:iCs/>
                <w:sz w:val="24"/>
                <w:szCs w:val="24"/>
              </w:rPr>
              <w:t xml:space="preserve">оказанию</w:t>
            </w:r>
            <w:r>
              <w:rPr>
                <w:sz w:val="24"/>
                <w:szCs w:val="24"/>
              </w:rPr>
              <w:t xml:space="preserve"> услуг выполняет персонал заказчика.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-</w:t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  <w:p>
            <w:pPr>
              <w:pStyle w:val="1009"/>
              <w:keepNext w:val="0"/>
              <w:spacing w:before="0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1.3.2.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Требование к информационной безопасности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jc w:val="both"/>
              <w:rPr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При необходимости переноса, копирования и восстановления информации в ПТК «Овация», Исполнитель услуг обязан использовать СМНИ заказчика (</w:t>
            </w:r>
            <w:r>
              <w:rPr>
                <w:sz w:val="24"/>
                <w:szCs w:val="24"/>
                <w:highlight w:val="white"/>
              </w:rPr>
              <w:t xml:space="preserve">предоставляются по запросу). Любая </w:t>
            </w:r>
            <w:r>
              <w:rPr>
                <w:sz w:val="24"/>
                <w:szCs w:val="24"/>
                <w:highlight w:val="white"/>
              </w:rPr>
              <w:t xml:space="preserve">конфиденциальн</w:t>
            </w:r>
            <w:r>
              <w:rPr>
                <w:sz w:val="24"/>
                <w:szCs w:val="24"/>
                <w:highlight w:val="white"/>
              </w:rPr>
              <w:t xml:space="preserve">ая</w:t>
            </w:r>
            <w:r>
              <w:rPr>
                <w:iCs/>
                <w:sz w:val="24"/>
                <w:szCs w:val="24"/>
                <w:highlight w:val="white"/>
              </w:rPr>
              <w:t xml:space="preserve">  информация, полученная в ходе оказания услуг запрещена к  передаче третьем лицам.</w:t>
            </w: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iCs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  <w:lang w:bidi="ru-RU"/>
              </w:rPr>
              <w:t xml:space="preserve">Вносимые изменения в конфигурацию ПТК и оборудования согласовываются с Заказчиком.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-</w:t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  <w:p>
            <w:pPr>
              <w:pStyle w:val="1009"/>
              <w:keepNext w:val="0"/>
              <w:spacing w:before="0"/>
              <w:rPr>
                <w:rFonts w:eastAsia="Times New Roman"/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  <w:r>
              <w:rPr>
                <w:rFonts w:eastAsia="Times New Roman"/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50" w:type="dxa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965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pStyle w:val="995"/>
              <w:ind w:left="0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pStyle w:val="995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12"/>
              </w:numPr>
              <w:ind w:left="0" w:firstLine="0"/>
              <w:jc w:val="both"/>
              <w:tabs>
                <w:tab w:val="left" w:pos="4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Необходимые расходные материалы для оказания услуг приобретаются исполнителем самостоятельно;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numPr>
                <w:ilvl w:val="0"/>
                <w:numId w:val="12"/>
              </w:numPr>
              <w:ind w:left="0" w:firstLine="0"/>
              <w:jc w:val="both"/>
              <w:tabs>
                <w:tab w:val="left" w:pos="4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поставляемые и применяемые материалы, оборудование должны быть новыми и </w:t>
            </w:r>
            <w:r>
              <w:rPr>
                <w:sz w:val="24"/>
                <w:szCs w:val="24"/>
              </w:rPr>
              <w:t xml:space="preserve">ранее </w:t>
            </w:r>
            <w:r>
              <w:rPr>
                <w:sz w:val="24"/>
                <w:szCs w:val="24"/>
              </w:rPr>
              <w:t xml:space="preserve">не использованными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numPr>
                <w:ilvl w:val="0"/>
                <w:numId w:val="12"/>
              </w:numPr>
              <w:ind w:left="0" w:firstLine="0"/>
              <w:jc w:val="both"/>
              <w:tabs>
                <w:tab w:val="left" w:pos="40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оказания услуг исполнитель должен иметь собственное оборудование, удовлетворяющие требованиям документов, указанных в пункте 1.1.1.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9"/>
              <w:spacing w:before="0"/>
              <w:rPr>
                <w:b w:val="0"/>
                <w:sz w:val="24"/>
                <w:szCs w:val="24"/>
              </w:rPr>
              <w:outlineLvl w:val="2"/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pStyle w:val="995"/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5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персоналу исполнителя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49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pStyle w:val="995"/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Квалификация персонала исполнителя, привлекаемого к оказанию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32"/>
              </w:numPr>
              <w:contextualSpacing/>
              <w:ind w:left="0" w:firstLine="0"/>
              <w:jc w:val="both"/>
              <w:widowControl w:val="off"/>
              <w:rPr>
                <w:sz w:val="24"/>
                <w:szCs w:val="24"/>
                <w14:ligatures w14:val="none"/>
              </w:rPr>
              <w:suppressLineNumbers w:val="0"/>
            </w:pPr>
            <w:r>
              <w:rPr>
                <w:sz w:val="24"/>
                <w:szCs w:val="24"/>
                <w:lang w:val="ru-RU"/>
              </w:rPr>
              <w:t xml:space="preserve">Услуги должны выполняться обученным и аттестованным персоналом, с квалификацией, соответствующей видам оказываемых услуг, имеющим квалификационные удостоверения о проверке знаний ПТБ, ПБ и ПТЭ;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995"/>
              <w:numPr>
                <w:ilvl w:val="0"/>
                <w:numId w:val="32"/>
              </w:numPr>
              <w:contextualSpacing/>
              <w:ind w:left="0" w:firstLine="0"/>
              <w:jc w:val="both"/>
              <w:widowControl w:val="off"/>
              <w:rPr>
                <w:sz w:val="24"/>
                <w:szCs w:val="24"/>
                <w14:ligatures w14:val="none"/>
              </w:rPr>
              <w:suppressLineNumbers w:val="0"/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  <w:t xml:space="preserve">Кв</w:t>
            </w:r>
            <w:r>
              <w:rPr>
                <w:sz w:val="24"/>
                <w:szCs w:val="24"/>
                <w:lang w:val="ru-RU"/>
              </w:rPr>
              <w:t xml:space="preserve">алификация персонала должна  быть подтверждена  соответствующими документами, а именно: удостоверение о повышении квалификации персонала по программе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«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Поверка и калибровка средств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в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и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б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р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о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а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к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у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с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т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и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ч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е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с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ких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и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з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м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е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р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е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н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и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й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» и\или действующий дого</w:t>
            </w:r>
            <w:r>
              <w:rPr>
                <w:sz w:val="24"/>
                <w:szCs w:val="24"/>
                <w:lang w:val="ru-RU"/>
              </w:rPr>
              <w:t xml:space="preserve">вор с аккредитованными в </w:t>
            </w:r>
            <w:r>
              <w:rPr>
                <w:sz w:val="24"/>
                <w:szCs w:val="24"/>
                <w:lang w:val="ru-RU"/>
              </w:rPr>
              <w:t xml:space="preserve">соответствии с законодательством Российской Федерации об аккредитации в национальной системе аккредитации государственными региональными центрами метрологии;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995"/>
              <w:numPr>
                <w:ilvl w:val="0"/>
                <w:numId w:val="32"/>
              </w:numPr>
              <w:contextualSpacing/>
              <w:ind w:left="0" w:firstLine="0"/>
              <w:jc w:val="both"/>
              <w:widowControl w:val="off"/>
              <w:rPr>
                <w:sz w:val="24"/>
                <w:szCs w:val="24"/>
                <w14:ligatures w14:val="none"/>
              </w:rPr>
              <w:suppressLineNumbers w:val="0"/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Исполнитель обязан использовать оборудование, соответствующее требованиям нормативных документов в области обеспечения единства измерений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;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995"/>
              <w:numPr>
                <w:ilvl w:val="0"/>
                <w:numId w:val="32"/>
              </w:numPr>
              <w:contextualSpacing/>
              <w:ind w:left="0" w:firstLine="0"/>
              <w:jc w:val="both"/>
              <w:widowControl w:val="off"/>
              <w:rPr>
                <w:sz w:val="24"/>
                <w:szCs w:val="24"/>
                <w14:ligatures w14:val="none"/>
              </w:rPr>
              <w:suppressLineNumbers w:val="0"/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Регламентное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о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бслуживание и 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калибровку</w:t>
            </w:r>
            <w:r>
              <w:rPr>
                <w:sz w:val="24"/>
                <w:szCs w:val="24"/>
                <w:highlight w:val="white"/>
                <w:lang w:val="ru-RU"/>
              </w:rPr>
              <w:t xml:space="preserve"> должны проводить квалифицированные специалисты, имеющие опыт в данном направ</w:t>
            </w:r>
            <w:r>
              <w:rPr>
                <w:sz w:val="24"/>
                <w:szCs w:val="24"/>
                <w:lang w:val="ru-RU"/>
              </w:rPr>
              <w:t xml:space="preserve">лении, прошедшие аттестацию в порядке, установленном нормативными документами в области обеспечения единства измерений в соответствии с областью аккредитации.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spacing w:before="0"/>
              <w:rPr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-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pStyle w:val="1009"/>
              <w:spacing w:before="0"/>
              <w:rPr>
                <w:b w:val="0"/>
                <w:sz w:val="24"/>
                <w:szCs w:val="24"/>
              </w:rPr>
              <w:outlineLvl w:val="2"/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pStyle w:val="995"/>
              <w:ind w:left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8450" w:type="dxa"/>
            <w:vAlign w:val="center"/>
            <w:textDirection w:val="lrTb"/>
            <w:noWrap w:val="false"/>
          </w:tcPr>
          <w:p>
            <w:pPr>
              <w:pStyle w:val="995"/>
              <w:ind w:left="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vAlign w:val="center"/>
            <w:textDirection w:val="lrTb"/>
            <w:noWrap w:val="false"/>
          </w:tcPr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Общие требования к результатам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Выполненное регламентированного обслуживание датчиков вибрации/скорости, а также измерительных каналов в соответствии с техническими требованиями.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pStyle w:val="995"/>
              <w:ind w:left="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50" w:type="dxa"/>
            <w:textDirection w:val="lrTb"/>
            <w:noWrap w:val="false"/>
          </w:tcPr>
          <w:p>
            <w:pPr>
              <w:jc w:val="both"/>
              <w:tabs>
                <w:tab w:val="left" w:pos="141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безопасности использования результата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Требования к информационной безопасности результата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pStyle w:val="995"/>
              <w:ind w:left="0"/>
              <w:spacing w:after="60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Требования информа</w:t>
            </w:r>
            <w:r>
              <w:rPr>
                <w:iCs/>
                <w:sz w:val="24"/>
                <w:szCs w:val="24"/>
              </w:rPr>
              <w:t xml:space="preserve">ционной безопасности должны обеспечиваться на всех стадиях жизненного цикла Систем с учетом всех сторон, вовлеченных в процессы жизненного цикла (разработчиков, заказчиков, поставщиков продуктов и услуг, эксплуатирующих и надзорных подразделений Общества).</w:t>
            </w:r>
            <w:r>
              <w:rPr>
                <w:rFonts w:eastAsia="Times New Roman"/>
                <w:iCs/>
                <w:sz w:val="24"/>
                <w:szCs w:val="24"/>
              </w:rPr>
            </w:r>
            <w:r>
              <w:rPr>
                <w:rFonts w:eastAsia="Times New Roman"/>
                <w:iCs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pStyle w:val="995"/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50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Требования к приемке результата оказания у</w:t>
            </w:r>
            <w:r>
              <w:rPr>
                <w:sz w:val="24"/>
                <w:szCs w:val="24"/>
              </w:rPr>
              <w:t xml:space="preserve">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pStyle w:val="995"/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2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Проведение испытаний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ind w:hanging="9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По завершению оказания услуг, исполнитель должен убедиться в исправности/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 xml:space="preserve">работоспособности систем контроля вибрации, путем натурных испытаний на рабочем оборудовании.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-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ind w:left="5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450" w:type="dxa"/>
            <w:vAlign w:val="center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Документы, передаваемые заказчику по результатам оказанных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13"/>
              </w:numPr>
              <w:ind w:left="-20" w:firstLine="0"/>
              <w:jc w:val="both"/>
              <w:widowControl w:val="off"/>
              <w:tabs>
                <w:tab w:val="left" w:pos="33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завершению оказания услуг, исполнитель предоставляет отчет о результатах оказанных услуг в состав которого входит: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Список выявленных и устраненных в ходе оказания услуг дефектов;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Карты настроек приборов с техническим описанием вносимых изменений (по согласованию с заказчиком);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Формуляр с внесенными изменениями;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Рекомендации, мероприятия для обеспечения надежной эксплуатации оборудования;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Сведения о результатах калибровки средс</w:t>
            </w:r>
            <w:r>
              <w:rPr>
                <w:sz w:val="24"/>
                <w:szCs w:val="24"/>
              </w:rPr>
              <w:t xml:space="preserve">тв измерений, а также каналов измерений (Свидетельство (сертификат) о калибровке).                 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numPr>
                <w:ilvl w:val="0"/>
                <w:numId w:val="13"/>
              </w:numPr>
              <w:ind w:left="-20" w:firstLine="0"/>
              <w:jc w:val="both"/>
              <w:widowControl w:val="off"/>
              <w:tabs>
                <w:tab w:val="left" w:pos="33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представляется: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бумажном носителе в 2-х экземплярах.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электронном носителе в 1 экземпляре в формате doc (MS Word), pdf.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numPr>
                <w:ilvl w:val="0"/>
                <w:numId w:val="13"/>
              </w:numPr>
              <w:ind w:left="-20" w:firstLine="0"/>
              <w:jc w:val="both"/>
              <w:widowControl w:val="off"/>
              <w:tabs>
                <w:tab w:val="left" w:pos="331" w:leader="none"/>
              </w:tabs>
              <w:rPr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Исполнитель предоставляет Заказчику подписанные со своей стороны в 2 (двух) экземплярах Акты оказанных услуг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5"/>
              <w:ind w:left="0"/>
              <w:jc w:val="both"/>
              <w:widowControl w:val="off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Размеры, форматы и содержание текстовых документов, выполненные в электронных форматах, должны быть идентичны бумажному оригиналу, к которому они прилагаются.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-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/>
        <w:tc>
          <w:tcPr>
            <w:tcW w:w="1048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8450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Соблюдение при оказании услуг норм и правил нормативно-технических документов: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jc w:val="both"/>
              <w:spacing w:before="2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Услуги должны осуществляться в соответствии с национальными, отраслевыми нормативно-техническими документами (НТД) и нормативно-правовыми актами (НПА)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b w:val="0"/>
                <w:sz w:val="24"/>
                <w:szCs w:val="24"/>
              </w:rPr>
              <w:outlineLvl w:val="2"/>
            </w:pPr>
            <w:r>
              <w:rPr>
                <w:rFonts w:eastAsia="Times New Roman"/>
                <w:b w:val="0"/>
                <w:sz w:val="24"/>
                <w:szCs w:val="24"/>
              </w:rPr>
              <w:t xml:space="preserve">-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8450" w:type="dxa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обязательствам исполнителя,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W w:w="1048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Требования к соисполнителям, привлекаемым к оказанию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363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 случае привлечения к оказанию услуг соисполнителей исполнитель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оказания ими услуг.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4" w:type="dxa"/>
            <w:vAlign w:val="center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b w:val="0"/>
                <w:sz w:val="24"/>
                <w:szCs w:val="24"/>
              </w:rPr>
              <w:outlineLvl w:val="2"/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W w:w="104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87" w:type="dxa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Требования к Победителю</w:t>
            </w:r>
            <w:r>
              <w:rPr>
                <w:b/>
                <w:bCs/>
                <w:iCs/>
                <w:sz w:val="24"/>
                <w:szCs w:val="24"/>
              </w:rPr>
            </w:r>
            <w:r>
              <w:rPr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5363" w:type="dxa"/>
            <w:vMerge w:val="restart"/>
            <w:textDirection w:val="lrTb"/>
            <w:noWrap w:val="false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W w:w="1983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4" w:type="dxa"/>
            <w:vAlign w:val="center"/>
            <w:vMerge w:val="restart"/>
            <w:textDirection w:val="lrTb"/>
            <w:noWrap w:val="false"/>
          </w:tcPr>
          <w:p>
            <w:pPr>
              <w:pStyle w:val="1009"/>
              <w:keepNext w:val="0"/>
              <w:spacing w:before="0"/>
              <w:rPr>
                <w:b w:val="0"/>
                <w:sz w:val="24"/>
                <w:szCs w:val="24"/>
              </w:rPr>
              <w:outlineLvl w:val="2"/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tcW w:w="104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W w:w="13990" w:type="dxa"/>
            <w:vMerge w:val="restart"/>
            <w:textDirection w:val="lrTb"/>
            <w:noWrap w:val="false"/>
          </w:tcPr>
          <w:p>
            <w:pPr>
              <w:ind w:firstLine="72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частник, признанный победителем закупочной процедуры, в течение 5 (пяти) рабочих дней после размещения протокола подведения итогов закупки на сайте </w:t>
            </w:r>
            <w:r>
              <w:rPr>
                <w:rStyle w:val="880"/>
                <w:rFonts w:ascii="Times New Roman" w:hAnsi="Times New Roman" w:eastAsia="Times New Roman" w:cs="Times New Roman"/>
                <w:i w:val="0"/>
                <w:iCs w:val="0"/>
                <w:color w:val="0000ee"/>
                <w:sz w:val="24"/>
                <w:szCs w:val="24"/>
                <w:highlight w:val="white"/>
                <w:u w:val="single"/>
                <w:lang w:val="en-US"/>
              </w:rPr>
              <w:t xml:space="preserve">www.zakupki.gov.ru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(до заключения договора), должен предоставить в адрес Заказчика на электронный адрес (</w:t>
            </w:r>
            <w:r>
              <w:rPr>
                <w:rStyle w:val="880"/>
                <w:rFonts w:ascii="Times New Roman" w:hAnsi="Times New Roman" w:eastAsia="Times New Roman" w:cs="Times New Roman"/>
                <w:i w:val="0"/>
                <w:iCs w:val="0"/>
                <w:color w:val="0000ee"/>
                <w:sz w:val="24"/>
                <w:szCs w:val="24"/>
                <w:highlight w:val="white"/>
                <w:u w:val="single"/>
                <w:lang w:val="en-US"/>
              </w:rPr>
              <w:t xml:space="preserve">panina</w:t>
            </w:r>
            <w:r>
              <w:rPr>
                <w:rStyle w:val="880"/>
                <w:rFonts w:ascii="Times New Roman" w:hAnsi="Times New Roman" w:eastAsia="Times New Roman" w:cs="Times New Roman"/>
                <w:i w:val="0"/>
                <w:iCs w:val="0"/>
                <w:color w:val="0000ee"/>
                <w:sz w:val="24"/>
                <w:szCs w:val="24"/>
                <w:highlight w:val="white"/>
                <w:u w:val="single"/>
                <w:lang w:val="en-US"/>
              </w:rPr>
              <w:t xml:space="preserve">-ev@dgk.ru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  <w:highlight w:val="whit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дополнительные документы.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  <w:p>
            <w:pPr>
              <w:ind w:firstLine="72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 случае не предоставления документов, указанных в данном пункте в установленный срок, в соответствии с условиями Документации о закупке, Победитель признается уклонившимся от заключения Договора и утрачивает статус Победителя, а Закупочная комиссия имеет 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</w:rPr>
              <w:t xml:space="preserve">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60"/>
        </w:trPr>
        <w:tc>
          <w:tcPr>
            <w:tcW w:w="104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8518" w:type="dxa"/>
            <w:vMerge w:val="restart"/>
            <w:textDirection w:val="lrTb"/>
            <w:noWrap w:val="false"/>
          </w:tcPr>
          <w:p>
            <w:pPr>
              <w:ind w:left="0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Победителя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white"/>
                <w:u w:val="single"/>
              </w:rPr>
            </w:r>
          </w:p>
          <w:p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1) Согласно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от 24.12.2021 г.№2464 «О порядке обучения по охране труда и проверки знаний требований охраны труда»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Иметь в наличие не мен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 2 челове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прошед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ших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проверку знаний требований охраны труда.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gridSpan w:val="2"/>
            <w:tcW w:w="5559" w:type="dxa"/>
            <w:vAlign w:val="top"/>
            <w:vMerge w:val="restart"/>
            <w:textDirection w:val="lrTb"/>
            <w:noWrap w:val="false"/>
          </w:tcPr>
          <w:p>
            <w:pPr>
              <w:ind w:left="142" w:right="141" w:firstLine="0"/>
              <w:jc w:val="both"/>
              <w:spacing w:before="0" w:after="0" w:line="240" w:lineRule="auto"/>
              <w:widowControl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right="141"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en-US" w:bidi="ar-SA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опиями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протокол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 (-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проверки знания требований охраны труда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обученных лиц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че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2 чело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кот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орые будут непосредственно на объектах оказывать услуги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rPr>
          <w:rStyle w:val="944"/>
          <w:iCs/>
          <w:color w:val="ff0000"/>
          <w:sz w:val="24"/>
          <w:szCs w:val="24"/>
        </w:rPr>
        <w:sectPr>
          <w:headerReference w:type="default" r:id="rId12"/>
          <w:headerReference w:type="even" r:id="rId13"/>
          <w:headerReference w:type="first" r:id="rId14"/>
          <w:footnotePr/>
          <w:endnotePr/>
          <w:type w:val="nextPage"/>
          <w:pgSz w:w="16838" w:h="11906" w:orient="landscape"/>
          <w:pgMar w:top="851" w:right="962" w:bottom="851" w:left="992" w:header="680" w:footer="0" w:gutter="0"/>
          <w:cols w:num="1" w:sep="0" w:space="720" w:equalWidth="1"/>
          <w:docGrid w:linePitch="360"/>
          <w:titlePg/>
        </w:sectPr>
      </w:pPr>
      <w:r>
        <w:rPr>
          <w:iCs/>
          <w:color w:val="ff0000"/>
          <w:sz w:val="24"/>
          <w:szCs w:val="24"/>
        </w:rPr>
      </w:r>
      <w:r>
        <w:rPr>
          <w:rStyle w:val="944"/>
          <w:iCs/>
          <w:color w:val="ff0000"/>
          <w:sz w:val="24"/>
          <w:szCs w:val="24"/>
        </w:rPr>
      </w:r>
      <w:r>
        <w:rPr>
          <w:rStyle w:val="944"/>
          <w:iCs/>
          <w:color w:val="ff0000"/>
          <w:sz w:val="24"/>
          <w:szCs w:val="24"/>
        </w:rPr>
      </w:r>
    </w:p>
    <w:p>
      <w:pPr>
        <w:pStyle w:val="868"/>
        <w:numPr>
          <w:ilvl w:val="0"/>
          <w:numId w:val="17"/>
        </w:numPr>
        <w:ind w:left="0" w:firstLine="142"/>
        <w:keepLines/>
        <w:rPr>
          <w:sz w:val="24"/>
          <w:szCs w:val="24"/>
        </w:rPr>
      </w:pPr>
      <w:r>
        <w:rPr>
          <w:sz w:val="24"/>
          <w:szCs w:val="24"/>
        </w:rPr>
      </w:r>
      <w:bookmarkStart w:id="19" w:name="_Toc53395937"/>
      <w:r>
        <w:rPr>
          <w:sz w:val="24"/>
          <w:szCs w:val="24"/>
        </w:rPr>
      </w:r>
      <w:bookmarkStart w:id="20" w:name="_Toc53393312"/>
      <w:r>
        <w:rPr>
          <w:sz w:val="24"/>
          <w:szCs w:val="24"/>
        </w:rPr>
      </w:r>
      <w:bookmarkStart w:id="21" w:name="_Toc54643710"/>
      <w:r>
        <w:rPr>
          <w:sz w:val="24"/>
          <w:szCs w:val="24"/>
        </w:rPr>
        <w:t xml:space="preserve">Требования к документации по ценообразованию</w:t>
      </w:r>
      <w:bookmarkEnd w:id="19"/>
      <w:r>
        <w:rPr>
          <w:sz w:val="24"/>
          <w:szCs w:val="24"/>
        </w:rPr>
      </w:r>
      <w:bookmarkEnd w:id="20"/>
      <w:r>
        <w:rPr>
          <w:sz w:val="24"/>
          <w:szCs w:val="24"/>
        </w:rPr>
        <w:t xml:space="preserve"> на этапе закупки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В обоснование стоимости заявки Участник должен предоставить Коммерческое предложение, по форме, (с учетом прилагаемой к ней инструкции по заполнению), приведенной в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 Дополнительные документы по ценообразованию не предоставляются.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8"/>
        <w:numPr>
          <w:ilvl w:val="0"/>
          <w:numId w:val="17"/>
        </w:numPr>
        <w:ind w:left="0" w:firstLine="142"/>
        <w:keepLines/>
        <w:rPr>
          <w:sz w:val="24"/>
          <w:szCs w:val="24"/>
        </w:rPr>
      </w:pPr>
      <w:r>
        <w:rPr>
          <w:sz w:val="24"/>
          <w:szCs w:val="24"/>
        </w:rPr>
      </w:r>
      <w:bookmarkStart w:id="22" w:name="_Toc54281228"/>
      <w:r>
        <w:rPr>
          <w:sz w:val="24"/>
          <w:szCs w:val="24"/>
        </w:rPr>
      </w:r>
      <w:bookmarkStart w:id="23" w:name="_Toc54643711"/>
      <w:r>
        <w:rPr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22"/>
      <w:r>
        <w:rPr>
          <w:sz w:val="24"/>
          <w:szCs w:val="24"/>
        </w:rPr>
      </w:r>
      <w:bookmarkEnd w:id="2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 Ц</w:t>
      </w:r>
      <w:r>
        <w:rPr>
          <w:rFonts w:eastAsia="Calibri"/>
          <w:iCs/>
          <w:sz w:val="24"/>
          <w:szCs w:val="24"/>
        </w:rPr>
        <w:t xml:space="preserve">ена договора формируется,</w:t>
      </w:r>
      <w:r>
        <w:rPr>
          <w:sz w:val="24"/>
          <w:szCs w:val="24"/>
        </w:rPr>
        <w:t xml:space="preserve"> в соответствии с Расчетом стоимости услуг (приложение № 2).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8"/>
        <w:numPr>
          <w:ilvl w:val="0"/>
          <w:numId w:val="19"/>
        </w:numPr>
        <w:ind w:left="357" w:hanging="357"/>
        <w:jc w:val="center"/>
        <w:keepLines/>
        <w:rPr>
          <w:b w:val="0"/>
          <w:caps/>
          <w:sz w:val="24"/>
          <w:szCs w:val="24"/>
        </w:rPr>
      </w:pPr>
      <w:r>
        <w:rPr>
          <w:iCs/>
          <w:sz w:val="24"/>
          <w:szCs w:val="24"/>
        </w:rPr>
        <w:t xml:space="preserve">Приложения</w:t>
      </w:r>
      <w:r>
        <w:rPr>
          <w:b w:val="0"/>
          <w:caps/>
          <w:sz w:val="24"/>
          <w:szCs w:val="24"/>
        </w:rPr>
      </w:r>
      <w:r>
        <w:rPr>
          <w:b w:val="0"/>
          <w:caps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944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44"/>
          <w:b w:val="0"/>
          <w:bCs/>
          <w:iCs/>
          <w:sz w:val="24"/>
          <w:szCs w:val="24"/>
        </w:rPr>
      </w:r>
      <w:r>
        <w:rPr>
          <w:rStyle w:val="944"/>
          <w:b w:val="0"/>
          <w:bCs/>
          <w:iCs/>
          <w:sz w:val="24"/>
          <w:szCs w:val="24"/>
        </w:rPr>
      </w:r>
    </w:p>
    <w:p>
      <w:pPr>
        <w:jc w:val="both"/>
        <w:spacing w:before="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rStyle w:val="944"/>
          <w:b w:val="0"/>
          <w:bCs/>
          <w:iCs/>
          <w:sz w:val="24"/>
          <w:szCs w:val="24"/>
          <w:shd w:val="clear" w:color="auto" w:fill="ffffff"/>
        </w:rPr>
        <w:t xml:space="preserve">Приложение №1: </w:t>
      </w:r>
      <w:r>
        <w:rPr>
          <w:color w:val="000000" w:themeColor="text1"/>
          <w:sz w:val="24"/>
          <w:szCs w:val="24"/>
        </w:rPr>
        <w:t xml:space="preserve">Ведомость объемов услуг по регламентированному  обслуживанию;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rStyle w:val="944"/>
          <w:b w:val="0"/>
          <w:bCs/>
          <w:iCs/>
          <w:sz w:val="24"/>
          <w:szCs w:val="24"/>
          <w:shd w:val="clear" w:color="auto" w:fill="ffffff"/>
        </w:rPr>
        <w:t xml:space="preserve">Приложение №2: </w:t>
      </w:r>
      <w:r>
        <w:rPr>
          <w:rStyle w:val="944"/>
          <w:b w:val="0"/>
          <w:bCs/>
          <w:i w:val="0"/>
          <w:iCs/>
          <w:sz w:val="24"/>
          <w:szCs w:val="24"/>
          <w:shd w:val="clear" w:color="auto" w:fill="ffffff"/>
        </w:rPr>
        <w:t xml:space="preserve">Расчет</w:t>
      </w:r>
      <w:r>
        <w:rPr>
          <w:rStyle w:val="944"/>
          <w:bCs/>
          <w:iCs/>
          <w:sz w:val="24"/>
          <w:szCs w:val="24"/>
          <w:shd w:val="clear" w:color="auto" w:fill="ffffff"/>
        </w:rPr>
        <w:t xml:space="preserve"> </w:t>
      </w:r>
      <w:r>
        <w:rPr>
          <w:rStyle w:val="944"/>
          <w:b w:val="0"/>
          <w:bCs/>
          <w:i w:val="0"/>
          <w:iCs/>
          <w:sz w:val="24"/>
          <w:szCs w:val="24"/>
          <w:shd w:val="clear" w:color="auto" w:fill="ffffff"/>
        </w:rPr>
        <w:t xml:space="preserve">с</w:t>
      </w:r>
      <w:r>
        <w:rPr>
          <w:sz w:val="24"/>
          <w:szCs w:val="24"/>
          <w:shd w:val="clear" w:color="auto" w:fill="ffffff"/>
        </w:rPr>
        <w:t xml:space="preserve">тоимости 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i/>
          <w:iCs/>
          <w:sz w:val="24"/>
          <w:szCs w:val="24"/>
          <w:highlight w:val="none"/>
        </w:rPr>
        <w:t xml:space="preserve">Приложение № 3</w:t>
      </w:r>
      <w:r>
        <w:rPr>
          <w:sz w:val="24"/>
          <w:szCs w:val="24"/>
          <w:highlight w:val="none"/>
        </w:rPr>
        <w:t xml:space="preserve">: Нормативные документы.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944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44"/>
          <w:b w:val="0"/>
          <w:bCs/>
          <w:iCs/>
          <w:sz w:val="24"/>
          <w:szCs w:val="24"/>
        </w:rPr>
      </w:r>
      <w:r>
        <w:rPr>
          <w:rStyle w:val="944"/>
          <w:b w:val="0"/>
          <w:bCs/>
          <w:iCs/>
          <w:sz w:val="24"/>
          <w:szCs w:val="24"/>
        </w:rPr>
      </w:r>
    </w:p>
    <w:p>
      <w:pPr>
        <w:spacing w:before="60"/>
        <w:widowControl w:val="off"/>
        <w:tabs>
          <w:tab w:val="left" w:pos="426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spacing w:before="60"/>
        <w:widowControl w:val="off"/>
        <w:tabs>
          <w:tab w:val="left" w:pos="426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spacing w:before="60"/>
        <w:widowControl w:val="off"/>
        <w:tabs>
          <w:tab w:val="left" w:pos="426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rFonts w:eastAsia="Calibri"/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к Техническим требованиям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193"/>
        <w:jc w:val="both"/>
        <w:tabs>
          <w:tab w:val="left" w:pos="8505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center"/>
        <w:tabs>
          <w:tab w:val="left" w:pos="4980" w:leader="none"/>
        </w:tabs>
        <w:rPr>
          <w:rStyle w:val="944"/>
          <w:iCs/>
          <w:sz w:val="24"/>
          <w:szCs w:val="24"/>
        </w:rPr>
      </w:pPr>
      <w:r>
        <w:rPr>
          <w:b/>
          <w:sz w:val="24"/>
          <w:szCs w:val="24"/>
        </w:rPr>
        <w:t xml:space="preserve">Ведомость объемов услуг </w:t>
      </w:r>
      <w:bookmarkStart w:id="24" w:name="_GoBack"/>
      <w:r>
        <w:rPr>
          <w:sz w:val="24"/>
          <w:szCs w:val="24"/>
        </w:rPr>
      </w:r>
      <w:bookmarkEnd w:id="24"/>
      <w:r>
        <w:rPr>
          <w:rStyle w:val="944"/>
          <w:iCs/>
          <w:sz w:val="24"/>
          <w:szCs w:val="24"/>
        </w:rPr>
      </w:r>
      <w:r>
        <w:rPr>
          <w:rStyle w:val="944"/>
          <w:iCs/>
          <w:sz w:val="24"/>
          <w:szCs w:val="24"/>
        </w:rPr>
      </w:r>
    </w:p>
    <w:p>
      <w:pPr>
        <w:ind w:left="540"/>
        <w:jc w:val="center"/>
        <w:tabs>
          <w:tab w:val="left" w:pos="4980" w:leader="none"/>
        </w:tabs>
        <w:rPr>
          <w:rStyle w:val="944"/>
          <w:iCs/>
          <w:color w:val="ff0000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по Регламентированному обслуживанию  датчиков вибрации для ТЭЦ Восточная</w:t>
      </w:r>
      <w:r>
        <w:rPr>
          <w:rStyle w:val="944"/>
          <w:iCs/>
          <w:color w:val="ff0000"/>
          <w:sz w:val="24"/>
          <w:szCs w:val="24"/>
          <w:highlight w:val="none"/>
        </w:rPr>
      </w:r>
      <w:r>
        <w:rPr>
          <w:rStyle w:val="944"/>
          <w:iCs/>
          <w:color w:val="ff0000"/>
          <w:sz w:val="24"/>
          <w:szCs w:val="24"/>
          <w:highlight w:val="none"/>
        </w:rPr>
      </w:r>
    </w:p>
    <w:p>
      <w:pPr>
        <w:ind w:left="540"/>
        <w:jc w:val="center"/>
        <w:tabs>
          <w:tab w:val="left" w:pos="4980" w:leader="none"/>
        </w:tabs>
        <w:rPr>
          <w:rStyle w:val="944"/>
          <w:color w:val="ff0000"/>
          <w:sz w:val="24"/>
          <w:szCs w:val="24"/>
        </w:rPr>
      </w:pPr>
      <w:r>
        <w:rPr>
          <w:rStyle w:val="944"/>
          <w:iCs/>
          <w:color w:val="ff0000"/>
          <w:sz w:val="24"/>
          <w:szCs w:val="24"/>
          <w:highlight w:val="none"/>
        </w:rPr>
      </w:r>
      <w:r>
        <w:rPr>
          <w:rStyle w:val="944"/>
          <w:color w:val="ff0000"/>
          <w:sz w:val="24"/>
          <w:szCs w:val="24"/>
        </w:rPr>
      </w:r>
      <w:r>
        <w:rPr>
          <w:rStyle w:val="944"/>
          <w:color w:val="ff0000"/>
          <w:sz w:val="24"/>
          <w:szCs w:val="24"/>
        </w:rPr>
      </w:r>
    </w:p>
    <w:p>
      <w:pPr>
        <w:jc w:val="both"/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b/>
          <w:sz w:val="24"/>
          <w:szCs w:val="24"/>
        </w:rPr>
        <w:t xml:space="preserve">Объемы услуг: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1.1. Очистка датчиков вибрации и кабельных связей от поверхностных загрязнений;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1.2. Определение внутреннего сопротивления датчика виброскорости;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1.3. По согласованию с заказчиком, внесение изменений в конфигурацию приборов;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76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1.4. Оформление результатов калибровки средств измерений;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line="276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1.5. Проверка работоспособности системы вибродиагностики сетевых насосов 1-го и 2-го сетевых районов, сопоставление полученных результатов на ПТК «Овация» с ручным измерителем вибрации, при несоответствии данных настройка измерительных каналов;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1.6. Оформление и предоставление отчета о результатах оказанных услуг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center"/>
        <w:tabs>
          <w:tab w:val="left" w:pos="49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tbl>
      <w:tblPr>
        <w:tblW w:w="971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"/>
        <w:gridCol w:w="6744"/>
        <w:gridCol w:w="1126"/>
        <w:gridCol w:w="1337"/>
        <w:gridCol w:w="76"/>
      </w:tblGrid>
      <w:tr>
        <w:tblPrEx/>
        <w:trPr>
          <w:jc w:val="center"/>
          <w:trHeight w:val="4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услуг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Ед. изм.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Кол-во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W w:w="76" w:type="dxa"/>
            <w:textDirection w:val="lrTb"/>
            <w:noWrap w:val="false"/>
          </w:tcPr>
          <w:p>
            <w:pPr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gridAfter w:val="1"/>
          <w:jc w:val="center"/>
          <w:trHeight w:val="45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РО Системы измерения среднеквадратичных значений виброскорости насосов первого сетевого района, в том числе: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textDirection w:val="lrTb"/>
            <w:noWrap w:val="false"/>
          </w:tcPr>
          <w:p>
            <w:pPr>
              <w:ind w:firstLine="106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 Датчиков со встроенным вибропреобразователем «A0322RA»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Внешний осмотр, очистка.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54</w:t>
            </w:r>
            <w:r>
              <w:rPr>
                <w:rStyle w:val="944"/>
                <w:iCs/>
                <w:color w:val="ff0000"/>
                <w:sz w:val="24"/>
                <w:szCs w:val="24"/>
                <w:highlight w:val="white"/>
              </w:rPr>
            </w:r>
            <w:r>
              <w:rPr>
                <w:rStyle w:val="944"/>
                <w:iCs/>
                <w:color w:val="ff0000"/>
                <w:sz w:val="24"/>
                <w:szCs w:val="24"/>
                <w:highlight w:val="white"/>
              </w:rPr>
            </w:r>
          </w:p>
        </w:tc>
        <w:tc>
          <w:tcPr>
            <w:tcW w:w="76" w:type="dxa"/>
            <w:textDirection w:val="lrTb"/>
            <w:noWrap w:val="false"/>
          </w:tcPr>
          <w:p>
            <w:pPr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2.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vMerge w:val="restart"/>
            <w:textDirection w:val="lrTb"/>
            <w:noWrap w:val="false"/>
          </w:tcPr>
          <w:p>
            <w:pPr>
              <w:ind w:firstLine="106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РО </w:t>
            </w:r>
            <w:r>
              <w:rPr>
                <w:b/>
                <w:sz w:val="24"/>
                <w:szCs w:val="24"/>
                <w:highlight w:val="none"/>
              </w:rPr>
              <w:t xml:space="preserve">Датчиков скорости (Проксиметр) Emerson «PR6423/015-041» вместе со вторичными преобразователями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firstLine="10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Внешний осмотр, очистка.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Комплект запасных частей и принадлежностей для технического </w:t>
            </w:r>
            <w:r>
              <w:rPr>
                <w:b/>
                <w:sz w:val="24"/>
                <w:szCs w:val="24"/>
              </w:rPr>
              <w:t xml:space="preserve">обслуживания</w:t>
            </w:r>
            <w:r>
              <w:rPr>
                <w:sz w:val="24"/>
                <w:szCs w:val="24"/>
              </w:rPr>
              <w:t xml:space="preserve">, предоставляемый Исполнителем, в составе: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Датчик со встроенным вибропреобра</w:t>
            </w:r>
            <w:r>
              <w:rPr>
                <w:sz w:val="24"/>
                <w:szCs w:val="24"/>
              </w:rPr>
              <w:t xml:space="preserve">зователем «A0322RA»</w:t>
            </w:r>
            <w:r>
              <w:rPr>
                <w:sz w:val="24"/>
                <w:szCs w:val="24"/>
              </w:rPr>
              <w:t xml:space="preserve"> – 1шт.;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Датчик скорости (Тахометр) Emerson «PR6423/015-041»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- 1 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6" w:type="dxa"/>
            <w:textDirection w:val="lrTb"/>
            <w:noWrap w:val="false"/>
          </w:tcPr>
          <w:p>
            <w:pPr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textDirection w:val="lrTb"/>
            <w:noWrap w:val="false"/>
          </w:tcPr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 клеммных коробок: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Протяжка клеммных соединений (200 шт.).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6" w:type="dxa"/>
            <w:textDirection w:val="lrTb"/>
            <w:noWrap w:val="false"/>
          </w:tcPr>
          <w:p>
            <w:pPr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textDirection w:val="lrTb"/>
            <w:noWrap w:val="false"/>
          </w:tcPr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 шкафа вибромониторинга АСУ ТП ПТК «Овация» 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Внешний осмотр, очистка;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Протяжка клеммных соединений (200 шт.);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rStyle w:val="944"/>
                <w:b w:val="0"/>
                <w:bCs/>
                <w:i w:val="0"/>
                <w:sz w:val="24"/>
                <w:szCs w:val="24"/>
                <w:shd w:val="clear" w:color="auto" w:fill="auto"/>
              </w:rPr>
            </w:pPr>
            <w:r>
              <w:rPr>
                <w:bCs/>
                <w:sz w:val="24"/>
                <w:szCs w:val="24"/>
              </w:rPr>
              <w:t xml:space="preserve">Опробование системы</w:t>
            </w:r>
            <w:r>
              <w:rPr>
                <w:rStyle w:val="944"/>
                <w:b w:val="0"/>
                <w:bCs/>
                <w:i w:val="0"/>
                <w:sz w:val="24"/>
                <w:szCs w:val="24"/>
                <w:shd w:val="clear" w:color="auto" w:fill="auto"/>
              </w:rPr>
            </w:r>
            <w:r>
              <w:rPr>
                <w:rStyle w:val="944"/>
                <w:b w:val="0"/>
                <w:bCs/>
                <w:i w:val="0"/>
                <w:sz w:val="24"/>
                <w:szCs w:val="24"/>
                <w:shd w:val="clear" w:color="auto" w:fill="auto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W w:w="76" w:type="dxa"/>
            <w:textDirection w:val="lrTb"/>
            <w:noWrap w:val="false"/>
          </w:tcPr>
          <w:p>
            <w:pPr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vMerge w:val="restart"/>
            <w:textDirection w:val="lrTb"/>
            <w:noWrap w:val="false"/>
          </w:tcPr>
          <w:p>
            <w:pPr>
              <w:ind w:firstLine="106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Калибровка измерительных каналов, а также датчиков вибрации и скорости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firstLine="106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Сравнение точности данных системы вибродиагностики между ПТК «Овация» и ручным измерителем вибрации. При несоответствии показаний настройка измерительных каналов ПТК «Овация». </w:t>
            </w:r>
            <w:r>
              <w:rPr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gridAfter w:val="1"/>
          <w:jc w:val="center"/>
          <w:trHeight w:val="450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РО Системы измерения среднеквадратичных значений виброскорости насосов второго сетевого района, в том числе: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7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textDirection w:val="lrTb"/>
            <w:noWrap w:val="false"/>
          </w:tcPr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 Датчиков со встроенным вибропреобразователем «A0322RA»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Внешний осмотр, очистка;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W w:w="76" w:type="dxa"/>
            <w:textDirection w:val="lrTb"/>
            <w:noWrap w:val="false"/>
          </w:tcPr>
          <w:p>
            <w:pPr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vMerge w:val="restart"/>
            <w:textDirection w:val="lrTb"/>
            <w:noWrap w:val="false"/>
          </w:tcPr>
          <w:p>
            <w:pPr>
              <w:ind w:firstLine="106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РО </w:t>
            </w:r>
            <w:r>
              <w:rPr>
                <w:b/>
                <w:sz w:val="24"/>
                <w:szCs w:val="24"/>
                <w:highlight w:val="none"/>
              </w:rPr>
              <w:t xml:space="preserve">Датчиков скорости (Проксиметр) Emerson «PR6423/015-041» </w:t>
            </w:r>
            <w:r>
              <w:rPr>
                <w:b/>
                <w:sz w:val="24"/>
                <w:szCs w:val="24"/>
                <w:highlight w:val="none"/>
              </w:rPr>
              <w:t xml:space="preserve">вместе со вторичными преобразователями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firstLine="106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Внешний осмотр, очистка.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textDirection w:val="lrTb"/>
            <w:noWrap w:val="false"/>
          </w:tcPr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 клеммных коробок: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Протяжка клеммных соединений (100 шт.);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6" w:type="dxa"/>
            <w:textDirection w:val="lrTb"/>
            <w:noWrap w:val="false"/>
          </w:tcPr>
          <w:p>
            <w:pPr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  <w:trHeight w:val="4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textDirection w:val="lrTb"/>
            <w:noWrap w:val="false"/>
          </w:tcPr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РО шкафа вибромониторинга АСУ ТП ПТК «Овация» 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Внешний осмотр, очистка;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Протяжка клеммных соединений (200 шт.);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106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Опробование системы 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  <w:tc>
          <w:tcPr>
            <w:tcW w:w="76" w:type="dxa"/>
            <w:textDirection w:val="lrTb"/>
            <w:noWrap w:val="false"/>
          </w:tcPr>
          <w:p>
            <w:pPr>
              <w:widowControl w:val="off"/>
              <w:rPr>
                <w:rStyle w:val="944"/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  <w:r>
              <w:rPr>
                <w:rStyle w:val="944"/>
                <w:iCs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6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744" w:type="dxa"/>
            <w:vAlign w:val="center"/>
            <w:vMerge w:val="restart"/>
            <w:textDirection w:val="lrTb"/>
            <w:noWrap w:val="false"/>
          </w:tcPr>
          <w:p>
            <w:pPr>
              <w:ind w:firstLine="106"/>
              <w:widowControl w:val="off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Калибровка измерительных каналов, а также датчиков вибрации и скорости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firstLine="106"/>
              <w:widowControl w:val="off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Сравнение точности данных системы вибродиагностики между ПТК «Овация» и ручным измерителем вибрации. </w:t>
            </w:r>
            <w:r>
              <w:rPr>
                <w:sz w:val="24"/>
                <w:szCs w:val="24"/>
              </w:rPr>
              <w:t xml:space="preserve">При несоответствии показаний настройка измерительных каналов ПТК «Овация». </w:t>
            </w:r>
            <w:r>
              <w:rPr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i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</w:t>
            </w: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</w:p>
        </w:tc>
        <w:tc>
          <w:tcPr>
            <w:tcW w:w="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iCs/>
                <w:color w:val="ff0000"/>
                <w:sz w:val="24"/>
                <w:szCs w:val="24"/>
              </w:rPr>
            </w:pP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  <w:r>
              <w:rPr>
                <w:iCs/>
                <w:color w:val="ff0000"/>
                <w:sz w:val="24"/>
                <w:szCs w:val="24"/>
              </w:rPr>
            </w:r>
          </w:p>
        </w:tc>
      </w:tr>
    </w:tbl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ind w:firstLine="567"/>
        <w:jc w:val="both"/>
        <w:tabs>
          <w:tab w:val="left" w:pos="709" w:leader="none"/>
          <w:tab w:val="left" w:pos="6946" w:leader="none"/>
        </w:tabs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  <w:r>
        <w:rPr>
          <w:rFonts w:eastAsia="MS Mincho"/>
          <w:sz w:val="24"/>
          <w:szCs w:val="24"/>
        </w:rPr>
      </w:r>
    </w:p>
    <w:p>
      <w:pPr>
        <w:jc w:val="right"/>
        <w:rPr>
          <w:rStyle w:val="944"/>
          <w:b w:val="0"/>
          <w:bCs w:val="0"/>
          <w:i w:val="0"/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rStyle w:val="944"/>
          <w:b w:val="0"/>
          <w:bCs w:val="0"/>
          <w:i w:val="0"/>
          <w:sz w:val="24"/>
          <w:szCs w:val="24"/>
        </w:rPr>
      </w:r>
      <w:r>
        <w:rPr>
          <w:rStyle w:val="944"/>
          <w:b w:val="0"/>
          <w:bCs w:val="0"/>
          <w:i w:val="0"/>
          <w:sz w:val="24"/>
          <w:szCs w:val="24"/>
        </w:rPr>
      </w:r>
    </w:p>
    <w:p>
      <w:pPr>
        <w:jc w:val="right"/>
        <w:rPr>
          <w:sz w:val="24"/>
          <w:szCs w:val="24"/>
          <w:highlight w:val="none"/>
          <w:shd w:val="clear" w:color="auto" w:fill="auto"/>
        </w:rPr>
      </w:pPr>
      <w:r>
        <w:rPr>
          <w:sz w:val="24"/>
          <w:szCs w:val="24"/>
        </w:rPr>
        <w:t xml:space="preserve">Приложение № 2 к Техническим требованиям</w:t>
      </w:r>
      <w:r>
        <w:rPr>
          <w:sz w:val="24"/>
          <w:szCs w:val="24"/>
          <w:highlight w:val="none"/>
          <w:shd w:val="clear" w:color="auto" w:fill="auto"/>
        </w:rPr>
      </w:r>
      <w:r>
        <w:rPr>
          <w:sz w:val="24"/>
          <w:szCs w:val="24"/>
          <w:highlight w:val="none"/>
          <w:shd w:val="clear" w:color="auto" w:fill="auto"/>
        </w:rPr>
      </w:r>
    </w:p>
    <w:p>
      <w:pPr>
        <w:jc w:val="center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29"/>
        <w:jc w:val="center"/>
        <w:spacing w:after="0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Расчет стоимости услуг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1029"/>
        <w:ind w:firstLine="709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022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688"/>
        <w:gridCol w:w="861"/>
        <w:gridCol w:w="709"/>
        <w:gridCol w:w="993"/>
        <w:gridCol w:w="986"/>
        <w:gridCol w:w="1276"/>
      </w:tblGrid>
      <w:tr>
        <w:tblPrEx/>
        <w:trPr>
          <w:jc w:val="center"/>
          <w:trHeight w:val="821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13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Услуга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textDirection w:val="lrTb"/>
            <w:noWrap w:val="false"/>
          </w:tcPr>
          <w:p>
            <w:pPr>
              <w:ind w:left="180"/>
              <w:jc w:val="center"/>
              <w:spacing w:after="120"/>
              <w:widowControl w:val="off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Ед.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180"/>
              <w:jc w:val="center"/>
              <w:spacing w:before="120"/>
              <w:widowControl w:val="off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изм.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Кол-во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Количество ТО</w:t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</w: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Цена за единицу, руб. 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36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Стоимость, руб. 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533" w:hRule="exact"/>
        </w:trPr>
        <w:tc>
          <w:tcPr>
            <w:gridSpan w:val="7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222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14"/>
              </w:numPr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РО Системы измерения среднеквадратичных значений виброскорости сетевых насосов первого сетевого района, в том числе: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jc w:val="center"/>
          <w:trHeight w:val="555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 Датчиков со встроенным вибропреобразователем «A0322RA»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54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5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РО </w:t>
            </w:r>
            <w:r>
              <w:rPr>
                <w:sz w:val="24"/>
                <w:szCs w:val="24"/>
              </w:rPr>
              <w:t xml:space="preserve">Датчиков скорости (Проксиметр) Emer</w:t>
            </w:r>
            <w:r>
              <w:rPr>
                <w:sz w:val="24"/>
                <w:szCs w:val="24"/>
              </w:rPr>
              <w:t xml:space="preserve">son «PR6423/015-041» вместе с</w:t>
            </w:r>
            <w:r>
              <w:rPr>
                <w:sz w:val="24"/>
                <w:szCs w:val="24"/>
              </w:rPr>
              <w:t xml:space="preserve">о вторичными преобразователями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555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Комплект запасных частей и принадлежностей для технического обслуживания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Компл.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276" w:leader="none"/>
                <w:tab w:val="center" w:pos="41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501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О клеммных коробок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560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textDirection w:val="lrTb"/>
            <w:noWrap w:val="false"/>
          </w:tcPr>
          <w:p>
            <w:pPr>
              <w:ind w:left="140"/>
              <w:widowControl w:val="off"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О шкафа вибромониторинга АСУ ТП ПТК «Овация»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textDirection w:val="lrTb"/>
            <w:noWrap w:val="false"/>
          </w:tcPr>
          <w:p>
            <w:pPr>
              <w:ind w:left="0"/>
              <w:jc w:val="left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Компл.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276" w:leader="none"/>
                <w:tab w:val="center" w:pos="41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0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Калибровка измерительных каналов, а также датчиков вибрации и скорости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521" w:hRule="exact"/>
        </w:trPr>
        <w:tc>
          <w:tcPr>
            <w:gridSpan w:val="7"/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0222" w:type="dxa"/>
            <w:textDirection w:val="lrTb"/>
            <w:noWrap w:val="false"/>
          </w:tcPr>
          <w:p>
            <w:pPr>
              <w:pStyle w:val="995"/>
              <w:numPr>
                <w:ilvl w:val="0"/>
                <w:numId w:val="14"/>
              </w:numPr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Р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О Системы измерения среднеквадратичных значений виброскорости сетевых насосов второго сетевого района, в том числе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567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О Датчиков со встроенным вибропреобразователем «A0322RA»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276" w:leader="none"/>
                <w:tab w:val="center" w:pos="41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7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РО </w:t>
            </w:r>
            <w:r>
              <w:rPr>
                <w:sz w:val="24"/>
                <w:szCs w:val="24"/>
              </w:rPr>
              <w:t xml:space="preserve">Датчиков скорости (Проксиметр) Emer</w:t>
            </w:r>
            <w:r>
              <w:rPr>
                <w:sz w:val="24"/>
                <w:szCs w:val="24"/>
              </w:rPr>
              <w:t xml:space="preserve">son «PR6423/015-041» вместе с</w:t>
            </w:r>
            <w:r>
              <w:rPr>
                <w:sz w:val="24"/>
                <w:szCs w:val="24"/>
              </w:rPr>
              <w:t xml:space="preserve">о вторичными преобразователями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561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О клеммных коробок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276" w:leader="none"/>
                <w:tab w:val="center" w:pos="41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  <w:trHeight w:val="631" w:hRule="exact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Р</w:t>
            </w:r>
            <w:r>
              <w:rPr>
                <w:sz w:val="24"/>
                <w:szCs w:val="24"/>
                <w:highlight w:val="white"/>
              </w:rPr>
              <w:t xml:space="preserve">О оборудования</w:t>
            </w:r>
            <w:r>
              <w:rPr>
                <w:color w:val="ff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шкафа вибромониторинга АСУ ТП ПТК «Овация»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276" w:leader="none"/>
                <w:tab w:val="center" w:pos="41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31" w:hRule="exact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Merge w:val="restart"/>
            <w:textDirection w:val="lrTb"/>
            <w:noWrap w:val="false"/>
          </w:tcPr>
          <w:p>
            <w:pPr>
              <w:numPr>
                <w:ilvl w:val="1"/>
                <w:numId w:val="14"/>
              </w:numPr>
              <w:ind w:left="270" w:hanging="284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4688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Калибровка измерительных каналов, а также датчиков вибрации и скорости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861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шт.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  <w:t xml:space="preserve">27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276" w:leader="none"/>
                <w:tab w:val="center" w:pos="415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986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left="14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709"/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Стоимость услуг указана с учетом всех затрат Исполнителя, в том числе командировочных,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накладных и прочих расходов, расходов на прибыль и т.д., является окончательной и пересмотру не подлежит.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headerReference w:type="default" r:id="rId15"/>
      <w:headerReference w:type="first" r:id="rId16"/>
      <w:footnotePr/>
      <w:endnotePr/>
      <w:type w:val="nextPage"/>
      <w:pgSz w:w="11906" w:h="16838" w:orient="portrait"/>
      <w:pgMar w:top="964" w:right="851" w:bottom="1134" w:left="1134" w:header="68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Helvetica">
    <w:panose1 w:val="020B0604020202020204"/>
  </w:font>
  <w:font w:name="Garamond">
    <w:panose1 w:val="02020603050405020304"/>
  </w:font>
  <w:font w:name="Verdana">
    <w:panose1 w:val="020B0604030504040204"/>
  </w:font>
  <w:font w:name="calibri light (Заголовки)">
    <w:panose1 w:val="020F0502020204030204"/>
  </w:font>
  <w:font w:name="Droid Sans Devanagari">
    <w:panose1 w:val="020B0606030804020204"/>
  </w:font>
  <w:font w:name="MS Mincho">
    <w:panose1 w:val="0202060305040509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>
      <w:fldChar w:fldCharType="begin"/>
    </w:r>
    <w:r>
      <w:instrText xml:space="preserve">PAGE</w:instrText>
    </w:r>
    <w:r>
      <w:fldChar w:fldCharType="separate"/>
    </w:r>
    <w:r>
      <w:t xml:space="preserve">4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69"/>
                            <w:rPr>
                              <w:rStyle w:val="923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923"/>
                            </w:rPr>
                            <w:fldChar w:fldCharType="begin"/>
                          </w:r>
                          <w:r>
                            <w:rPr>
                              <w:rStyle w:val="923"/>
                            </w:rPr>
                            <w:instrText xml:space="preserve">PAGE</w:instrText>
                          </w:r>
                          <w:r>
                            <w:rPr>
                              <w:rStyle w:val="923"/>
                            </w:rPr>
                            <w:fldChar w:fldCharType="separate"/>
                          </w:r>
                          <w:r>
                            <w:rPr>
                              <w:rStyle w:val="923"/>
                            </w:rPr>
                            <w:t xml:space="preserve">0</w:t>
                          </w:r>
                          <w:r>
                            <w:rPr>
                              <w:rStyle w:val="923"/>
                            </w:rPr>
                            <w:fldChar w:fldCharType="end"/>
                          </w:r>
                          <w:r>
                            <w:rPr>
                              <w:rStyle w:val="923"/>
                            </w:rPr>
                          </w:r>
                          <w:r>
                            <w:rPr>
                              <w:rStyle w:val="923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69"/>
                      <w:rPr>
                        <w:rStyle w:val="923"/>
                      </w:rPr>
                    </w:pPr>
                    <w:r>
                      <w:fldChar w:fldCharType="begin"/>
                    </w:r>
                    <w:r>
                      <w:instrText xml:space="preserve">PAGE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923"/>
                      </w:rPr>
                      <w:fldChar w:fldCharType="begin"/>
                    </w:r>
                    <w:r>
                      <w:rPr>
                        <w:rStyle w:val="923"/>
                      </w:rPr>
                      <w:instrText xml:space="preserve">PAGE</w:instrText>
                    </w:r>
                    <w:r>
                      <w:rPr>
                        <w:rStyle w:val="923"/>
                      </w:rPr>
                      <w:fldChar w:fldCharType="separate"/>
                    </w:r>
                    <w:r>
                      <w:rPr>
                        <w:rStyle w:val="923"/>
                      </w:rPr>
                      <w:t xml:space="preserve">0</w:t>
                    </w:r>
                    <w:r>
                      <w:rPr>
                        <w:rStyle w:val="923"/>
                      </w:rPr>
                      <w:fldChar w:fldCharType="end"/>
                    </w:r>
                    <w:r>
                      <w:rPr>
                        <w:rStyle w:val="923"/>
                      </w:rPr>
                    </w:r>
                    <w:r>
                      <w:rPr>
                        <w:rStyle w:val="923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>
      <w:fldChar w:fldCharType="begin"/>
    </w:r>
    <w:r>
      <w:instrText xml:space="preserve">PAGE</w:instrText>
    </w:r>
    <w:r>
      <w:fldChar w:fldCharType="separate"/>
    </w:r>
    <w:r>
      <w:t xml:space="preserve">10</w:t>
    </w:r>
    <w:r>
      <w:fldChar w:fldCharType="end"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69"/>
                            <w:rPr>
                              <w:rStyle w:val="923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PAGE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>
                            <w:rPr>
                              <w:rStyle w:val="923"/>
                            </w:rPr>
                            <w:fldChar w:fldCharType="begin"/>
                          </w:r>
                          <w:r>
                            <w:rPr>
                              <w:rStyle w:val="923"/>
                            </w:rPr>
                            <w:instrText xml:space="preserve">PAGE</w:instrText>
                          </w:r>
                          <w:r>
                            <w:rPr>
                              <w:rStyle w:val="923"/>
                            </w:rPr>
                            <w:fldChar w:fldCharType="separate"/>
                          </w:r>
                          <w:r>
                            <w:rPr>
                              <w:rStyle w:val="923"/>
                            </w:rPr>
                            <w:t xml:space="preserve">0</w:t>
                          </w:r>
                          <w:r>
                            <w:rPr>
                              <w:rStyle w:val="923"/>
                            </w:rPr>
                            <w:fldChar w:fldCharType="end"/>
                          </w:r>
                          <w:r>
                            <w:rPr>
                              <w:rStyle w:val="923"/>
                            </w:rPr>
                          </w:r>
                          <w:r>
                            <w:rPr>
                              <w:rStyle w:val="923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251659264;o:allowoverlap:true;o:allowincell:tru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69"/>
                      <w:rPr>
                        <w:rStyle w:val="923"/>
                      </w:rPr>
                    </w:pPr>
                    <w:r>
                      <w:fldChar w:fldCharType="begin"/>
                    </w:r>
                    <w:r>
                      <w:instrText xml:space="preserve">PAGE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>
                      <w:rPr>
                        <w:rStyle w:val="923"/>
                      </w:rPr>
                      <w:fldChar w:fldCharType="begin"/>
                    </w:r>
                    <w:r>
                      <w:rPr>
                        <w:rStyle w:val="923"/>
                      </w:rPr>
                      <w:instrText xml:space="preserve">PAGE</w:instrText>
                    </w:r>
                    <w:r>
                      <w:rPr>
                        <w:rStyle w:val="923"/>
                      </w:rPr>
                      <w:fldChar w:fldCharType="separate"/>
                    </w:r>
                    <w:r>
                      <w:rPr>
                        <w:rStyle w:val="923"/>
                      </w:rPr>
                      <w:t xml:space="preserve">0</w:t>
                    </w:r>
                    <w:r>
                      <w:rPr>
                        <w:rStyle w:val="923"/>
                      </w:rPr>
                      <w:fldChar w:fldCharType="end"/>
                    </w:r>
                    <w:r>
                      <w:rPr>
                        <w:rStyle w:val="923"/>
                      </w:rPr>
                    </w:r>
                    <w:r>
                      <w:rPr>
                        <w:rStyle w:val="923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>
      <w:fldChar w:fldCharType="begin"/>
    </w:r>
    <w:r>
      <w:instrText xml:space="preserve">PAGE</w:instrText>
    </w:r>
    <w:r>
      <w:fldChar w:fldCharType="separate"/>
    </w:r>
    <w:r>
      <w:t xml:space="preserve">12</w:t>
    </w:r>
    <w:r>
      <w:fldChar w:fldCharType="end"/>
    </w:r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9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4"/>
      <w:numFmt w:val="bullet"/>
      <w:pStyle w:val="1001"/>
      <w:isLgl w:val="false"/>
      <w:suff w:val="tab"/>
      <w:lvlText w:val="-"/>
      <w:lvlJc w:val="left"/>
      <w:pPr>
        <w:ind w:left="-20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014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985" w:hanging="567"/>
        <w:tabs>
          <w:tab w:val="num" w:pos="0" w:leader="none"/>
        </w:tabs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bullet"/>
      <w:isLgl w:val="false"/>
      <w:suff w:val="tab"/>
      <w:lvlText w:val=""/>
      <w:lvlJc w:val="left"/>
      <w:pPr>
        <w:ind w:left="1224" w:hanging="504"/>
        <w:tabs>
          <w:tab w:val="num" w:pos="0" w:leader="none"/>
        </w:tabs>
      </w:pPr>
      <w:rPr>
        <w:rFonts w:hint="default" w:ascii="Symbol" w:hAnsi="Symbol" w:cs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2">
    <w:multiLevelType w:val="hybridMultilevel"/>
    <w:lvl w:ilvl="0">
      <w:start w:val="1"/>
      <w:numFmt w:val="decimal"/>
      <w:pStyle w:val="96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pStyle w:val="868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71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870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pStyle w:val="1026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7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Arial Unicode MS" w:eastAsia="Arial Unicode MS" w:cs="Arial Unicode MS"/>
        <w:sz w:val="3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Arial Unicode MS" w:eastAsia="Arial Unicode MS" w:cs="Arial Unicode MS"/>
        <w:sz w:val="3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Arial Unicode MS" w:eastAsia="Arial Unicode MS" w:cs="Arial Unicode MS"/>
        <w:sz w:val="3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38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10"/>
  </w:num>
  <w:num w:numId="5">
    <w:abstractNumId w:val="8"/>
  </w:num>
  <w:num w:numId="6">
    <w:abstractNumId w:val="11"/>
  </w:num>
  <w:num w:numId="7">
    <w:abstractNumId w:val="1"/>
  </w:num>
  <w:num w:numId="8">
    <w:abstractNumId w:val="13"/>
  </w:num>
  <w:num w:numId="9">
    <w:abstractNumId w:val="17"/>
  </w:num>
  <w:num w:numId="10">
    <w:abstractNumId w:val="9"/>
  </w:num>
  <w:num w:numId="11">
    <w:abstractNumId w:val="7"/>
  </w:num>
  <w:num w:numId="12">
    <w:abstractNumId w:val="2"/>
  </w:num>
  <w:num w:numId="13">
    <w:abstractNumId w:val="14"/>
  </w:num>
  <w:num w:numId="14">
    <w:abstractNumId w:val="18"/>
  </w:num>
  <w:num w:numId="15">
    <w:abstractNumId w:val="6"/>
  </w:num>
  <w:num w:numId="16">
    <w:abstractNumId w:val="10"/>
    <w:lvlOverride w:ilvl="3">
      <w:lvl w:ilvl="3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4">
      <w:lvl w:ilvl="4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5">
      <w:lvl w:ilvl="5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6">
      <w:lvl w:ilvl="6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7">
      <w:lvl w:ilvl="7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8">
      <w:lvl w:ilvl="8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</w:num>
  <w:num w:numId="17">
    <w:abstractNumId w:val="10"/>
    <w:lvlOverride w:ilvl="3">
      <w:lvl w:ilvl="3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4">
      <w:lvl w:ilvl="4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5">
      <w:lvl w:ilvl="5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6">
      <w:lvl w:ilvl="6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7">
      <w:lvl w:ilvl="7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8">
      <w:lvl w:ilvl="8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</w:num>
  <w:num w:numId="18">
    <w:abstractNumId w:val="10"/>
    <w:lvlOverride w:ilvl="3">
      <w:lvl w:ilvl="3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4">
      <w:lvl w:ilvl="4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5">
      <w:lvl w:ilvl="5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6">
      <w:lvl w:ilvl="6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7">
      <w:lvl w:ilvl="7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8">
      <w:lvl w:ilvl="8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</w:num>
  <w:num w:numId="19">
    <w:abstractNumId w:val="10"/>
    <w:lvlOverride w:ilvl="3">
      <w:lvl w:ilvl="3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4">
      <w:lvl w:ilvl="4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5">
      <w:lvl w:ilvl="5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6">
      <w:lvl w:ilvl="6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7">
      <w:lvl w:ilvl="7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  <w:lvlOverride w:ilvl="8">
      <w:lvl w:ilvl="8">
        <w:start w:val="1"/>
        <w:numFmt w:val="none"/>
        <w:isLgl w:val="false"/>
        <w:suff w:val="nothing"/>
        <w:lvlText w:val=""/>
        <w:lvlJc w:val="left"/>
        <w:pPr>
          <w:ind w:left="0" w:firstLine="0"/>
          <w:tabs>
            <w:tab w:val="num" w:pos="0" w:leader="none"/>
          </w:tabs>
        </w:pPr>
      </w:lvl>
    </w:lvlOverride>
  </w:num>
  <w:num w:numId="20">
    <w:abstractNumId w:val="4"/>
  </w:num>
  <w:num w:numId="21">
    <w:abstractNumId w:val="0"/>
  </w:num>
  <w:num w:numId="22">
    <w:abstractNumId w:val="3"/>
  </w:num>
  <w:num w:numId="23">
    <w:abstractNumId w:val="16"/>
  </w:num>
  <w:num w:numId="24">
    <w:abstractNumId w:val="15"/>
  </w:num>
  <w:num w:numId="25">
    <w:abstractNumId w:val="19"/>
  </w:num>
  <w:num w:numId="26">
    <w:abstractNumId w:val="20"/>
  </w:num>
  <w:num w:numId="27">
    <w:abstractNumId w:val="21"/>
  </w:num>
  <w:num w:numId="28">
    <w:abstractNumId w:val="22"/>
  </w:num>
  <w:num w:numId="29">
    <w:abstractNumId w:val="23"/>
  </w:num>
  <w:num w:numId="30">
    <w:abstractNumId w:val="24"/>
  </w:num>
  <w:num w:numId="31">
    <w:abstractNumId w:val="2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67" w:default="1">
    <w:name w:val="Normal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68">
    <w:name w:val="Heading 1"/>
    <w:basedOn w:val="870"/>
    <w:next w:val="867"/>
    <w:qFormat/>
    <w:pPr>
      <w:numPr>
        <w:ilvl w:val="0"/>
      </w:numPr>
      <w:outlineLvl w:val="0"/>
    </w:pPr>
    <w:rPr>
      <w:sz w:val="28"/>
      <w:szCs w:val="28"/>
    </w:rPr>
  </w:style>
  <w:style w:type="paragraph" w:styleId="869">
    <w:name w:val="Heading 2"/>
    <w:basedOn w:val="871"/>
    <w:next w:val="867"/>
    <w:qFormat/>
    <w:pPr>
      <w:numPr>
        <w:ilvl w:val="0"/>
        <w:numId w:val="0"/>
      </w:numPr>
      <w:outlineLvl w:val="1"/>
    </w:pPr>
  </w:style>
  <w:style w:type="paragraph" w:styleId="870">
    <w:name w:val="Heading 3"/>
    <w:basedOn w:val="867"/>
    <w:next w:val="867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71">
    <w:name w:val="Heading 4"/>
    <w:basedOn w:val="870"/>
    <w:next w:val="867"/>
    <w:qFormat/>
    <w:pPr>
      <w:numPr>
        <w:ilvl w:val="1"/>
      </w:numPr>
      <w:outlineLvl w:val="3"/>
    </w:pPr>
    <w:rPr>
      <w:bCs/>
    </w:rPr>
  </w:style>
  <w:style w:type="paragraph" w:styleId="872">
    <w:name w:val="Heading 5"/>
    <w:basedOn w:val="867"/>
    <w:next w:val="867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73">
    <w:name w:val="Heading 6"/>
    <w:basedOn w:val="867"/>
    <w:next w:val="867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74">
    <w:name w:val="Heading 7"/>
    <w:basedOn w:val="867"/>
    <w:next w:val="86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75">
    <w:name w:val="Heading 8"/>
    <w:basedOn w:val="867"/>
    <w:next w:val="867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76">
    <w:name w:val="Heading 9"/>
    <w:basedOn w:val="867"/>
    <w:next w:val="867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77" w:default="1">
    <w:name w:val="Default Paragraph Font"/>
    <w:uiPriority w:val="1"/>
    <w:semiHidden/>
    <w:unhideWhenUsed/>
  </w:style>
  <w:style w:type="table" w:styleId="8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9" w:default="1">
    <w:name w:val="No List"/>
    <w:uiPriority w:val="99"/>
    <w:semiHidden/>
    <w:unhideWhenUsed/>
  </w:style>
  <w:style w:type="character" w:styleId="880">
    <w:name w:val="Hyperlink"/>
    <w:uiPriority w:val="99"/>
    <w:unhideWhenUsed/>
    <w:rPr>
      <w:color w:val="0563c1" w:themeColor="hyperlink"/>
      <w:u w:val="single"/>
    </w:rPr>
  </w:style>
  <w:style w:type="character" w:styleId="881">
    <w:name w:val="footnote reference"/>
    <w:basedOn w:val="877"/>
    <w:uiPriority w:val="99"/>
    <w:unhideWhenUsed/>
    <w:rPr>
      <w:vertAlign w:val="superscript"/>
    </w:rPr>
  </w:style>
  <w:style w:type="character" w:styleId="882">
    <w:name w:val="endnote reference"/>
    <w:basedOn w:val="877"/>
    <w:uiPriority w:val="99"/>
    <w:semiHidden/>
    <w:unhideWhenUsed/>
    <w:rPr>
      <w:vertAlign w:val="superscript"/>
    </w:rPr>
  </w:style>
  <w:style w:type="character" w:styleId="883" w:customStyle="1">
    <w:name w:val="Заголовок 1 Знак"/>
    <w:basedOn w:val="877"/>
    <w:qFormat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884" w:customStyle="1">
    <w:name w:val="Заголовок 2 Знак"/>
    <w:basedOn w:val="877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85" w:customStyle="1">
    <w:name w:val="Заголовок 3 Знак"/>
    <w:basedOn w:val="877"/>
    <w:qFormat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886" w:customStyle="1">
    <w:name w:val="Заголовок 4 Знак"/>
    <w:basedOn w:val="877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87" w:customStyle="1">
    <w:name w:val="Заголовок 5 Знак"/>
    <w:basedOn w:val="877"/>
    <w:uiPriority w:val="9"/>
    <w:qFormat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888" w:customStyle="1">
    <w:name w:val="Заголовок 6 Знак"/>
    <w:basedOn w:val="877"/>
    <w:uiPriority w:val="9"/>
    <w:qFormat/>
    <w:rPr>
      <w:rFonts w:ascii="Cambria" w:hAnsi="Cambria" w:eastAsia="Times New Roman" w:cs="Times New Roman"/>
      <w:i/>
      <w:iCs/>
      <w:color w:val="243f60"/>
      <w:sz w:val="20"/>
      <w:szCs w:val="20"/>
      <w:lang w:eastAsia="ru-RU"/>
    </w:rPr>
  </w:style>
  <w:style w:type="character" w:styleId="889" w:customStyle="1">
    <w:name w:val="Заголовок 7 Знак"/>
    <w:basedOn w:val="877"/>
    <w:uiPriority w:val="9"/>
    <w:qFormat/>
    <w:rPr>
      <w:rFonts w:ascii="Cambria" w:hAnsi="Cambria" w:eastAsia="Times New Roman" w:cs="Times New Roman"/>
      <w:i/>
      <w:iCs/>
      <w:color w:val="404040"/>
      <w:sz w:val="20"/>
      <w:szCs w:val="20"/>
      <w:lang w:eastAsia="ru-RU"/>
    </w:rPr>
  </w:style>
  <w:style w:type="character" w:styleId="890" w:customStyle="1">
    <w:name w:val="Заголовок 8 Знак"/>
    <w:basedOn w:val="877"/>
    <w:uiPriority w:val="9"/>
    <w:qFormat/>
    <w:rPr>
      <w:rFonts w:ascii="Cambria" w:hAnsi="Cambria" w:eastAsia="Times New Roman" w:cs="Times New Roman"/>
      <w:color w:val="4f81bd"/>
      <w:sz w:val="20"/>
      <w:szCs w:val="20"/>
      <w:lang w:eastAsia="ru-RU"/>
    </w:rPr>
  </w:style>
  <w:style w:type="character" w:styleId="891" w:customStyle="1">
    <w:name w:val="Заголовок 9 Знак"/>
    <w:basedOn w:val="877"/>
    <w:uiPriority w:val="9"/>
    <w:qFormat/>
    <w:rPr>
      <w:rFonts w:ascii="Arial" w:hAnsi="Arial" w:eastAsia="Times New Roman" w:cs="Times New Roman"/>
      <w:lang w:eastAsia="ru-RU"/>
    </w:rPr>
  </w:style>
  <w:style w:type="character" w:styleId="892" w:customStyle="1">
    <w:name w:val="Title Char"/>
    <w:basedOn w:val="877"/>
    <w:uiPriority w:val="10"/>
    <w:qFormat/>
    <w:rPr>
      <w:sz w:val="48"/>
      <w:szCs w:val="48"/>
    </w:rPr>
  </w:style>
  <w:style w:type="character" w:styleId="893" w:customStyle="1">
    <w:name w:val="Caption Char"/>
    <w:uiPriority w:val="99"/>
    <w:qFormat/>
  </w:style>
  <w:style w:type="character" w:styleId="894" w:customStyle="1">
    <w:name w:val="Heading 1 Char"/>
    <w:basedOn w:val="877"/>
    <w:uiPriority w:val="9"/>
    <w:qFormat/>
    <w:rPr>
      <w:rFonts w:ascii="Arial" w:hAnsi="Arial" w:eastAsia="Arial" w:cs="Arial"/>
      <w:sz w:val="40"/>
      <w:szCs w:val="40"/>
    </w:rPr>
  </w:style>
  <w:style w:type="character" w:styleId="895" w:customStyle="1">
    <w:name w:val="Heading 2 Char"/>
    <w:basedOn w:val="877"/>
    <w:uiPriority w:val="9"/>
    <w:qFormat/>
    <w:rPr>
      <w:rFonts w:ascii="Arial" w:hAnsi="Arial" w:eastAsia="Arial" w:cs="Arial"/>
      <w:sz w:val="34"/>
    </w:rPr>
  </w:style>
  <w:style w:type="character" w:styleId="896" w:customStyle="1">
    <w:name w:val="Heading 3 Char"/>
    <w:basedOn w:val="877"/>
    <w:uiPriority w:val="9"/>
    <w:qFormat/>
    <w:rPr>
      <w:rFonts w:ascii="Arial" w:hAnsi="Arial" w:eastAsia="Arial" w:cs="Arial"/>
      <w:sz w:val="30"/>
      <w:szCs w:val="30"/>
    </w:rPr>
  </w:style>
  <w:style w:type="character" w:styleId="897" w:customStyle="1">
    <w:name w:val="Heading 4 Char"/>
    <w:basedOn w:val="877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98" w:customStyle="1">
    <w:name w:val="Heading 5 Char"/>
    <w:basedOn w:val="87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99" w:customStyle="1">
    <w:name w:val="Heading 6 Char"/>
    <w:basedOn w:val="877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00" w:customStyle="1">
    <w:name w:val="Heading 7 Char"/>
    <w:basedOn w:val="877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01" w:customStyle="1">
    <w:name w:val="Heading 8 Char"/>
    <w:basedOn w:val="877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02" w:customStyle="1">
    <w:name w:val="Heading 9 Char"/>
    <w:basedOn w:val="877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03" w:customStyle="1">
    <w:name w:val="Заголовок Знак"/>
    <w:basedOn w:val="877"/>
    <w:uiPriority w:val="10"/>
    <w:qFormat/>
    <w:rPr>
      <w:rFonts w:ascii="Times New Roman" w:hAnsi="Times New Roman" w:eastAsia="Times New Roman" w:cs="Times New Roman"/>
      <w:sz w:val="48"/>
      <w:szCs w:val="48"/>
      <w:lang w:eastAsia="ru-RU"/>
    </w:rPr>
  </w:style>
  <w:style w:type="character" w:styleId="904" w:customStyle="1">
    <w:name w:val="Subtitle Char"/>
    <w:basedOn w:val="877"/>
    <w:uiPriority w:val="11"/>
    <w:qFormat/>
    <w:rPr>
      <w:sz w:val="24"/>
      <w:szCs w:val="24"/>
    </w:rPr>
  </w:style>
  <w:style w:type="character" w:styleId="905" w:customStyle="1">
    <w:name w:val="Quote Char"/>
    <w:uiPriority w:val="29"/>
    <w:qFormat/>
    <w:rPr>
      <w:i/>
    </w:rPr>
  </w:style>
  <w:style w:type="character" w:styleId="906" w:customStyle="1">
    <w:name w:val="Intense Quote Char"/>
    <w:uiPriority w:val="30"/>
    <w:qFormat/>
    <w:rPr>
      <w:i/>
    </w:rPr>
  </w:style>
  <w:style w:type="character" w:styleId="907" w:customStyle="1">
    <w:name w:val="Header Char"/>
    <w:basedOn w:val="877"/>
    <w:uiPriority w:val="99"/>
    <w:qFormat/>
  </w:style>
  <w:style w:type="character" w:styleId="908" w:customStyle="1">
    <w:name w:val="Footer Char"/>
    <w:basedOn w:val="877"/>
    <w:uiPriority w:val="99"/>
    <w:qFormat/>
  </w:style>
  <w:style w:type="character" w:styleId="909" w:customStyle="1">
    <w:name w:val="Нижний колонтитул Знак"/>
    <w:uiPriority w:val="99"/>
    <w:qFormat/>
  </w:style>
  <w:style w:type="character" w:styleId="910" w:customStyle="1">
    <w:name w:val="Footnote Text Char"/>
    <w:uiPriority w:val="99"/>
    <w:qFormat/>
    <w:rPr>
      <w:sz w:val="18"/>
    </w:rPr>
  </w:style>
  <w:style w:type="character" w:styleId="911" w:customStyle="1">
    <w:name w:val="Endnote Text Char"/>
    <w:uiPriority w:val="99"/>
    <w:qFormat/>
    <w:rPr>
      <w:sz w:val="20"/>
    </w:rPr>
  </w:style>
  <w:style w:type="character" w:styleId="912" w:customStyle="1">
    <w:name w:val="Текст сноски Знак"/>
    <w:basedOn w:val="877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13" w:customStyle="1">
    <w:name w:val="Привязка сноски"/>
    <w:rPr>
      <w:vertAlign w:val="superscript"/>
    </w:rPr>
  </w:style>
  <w:style w:type="character" w:styleId="914" w:customStyle="1">
    <w:name w:val="Footnote Characters"/>
    <w:qFormat/>
    <w:rPr>
      <w:vertAlign w:val="superscript"/>
    </w:rPr>
  </w:style>
  <w:style w:type="character" w:styleId="915" w:customStyle="1">
    <w:name w:val="Верхний колонтитул Знак"/>
    <w:basedOn w:val="877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6" w:customStyle="1">
    <w:name w:val="Основной текст с отступом Знак"/>
    <w:basedOn w:val="877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7" w:customStyle="1">
    <w:name w:val="Нижний колонтитул Знак1"/>
    <w:basedOn w:val="877"/>
    <w:uiPriority w:val="99"/>
    <w:semiHidden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18" w:customStyle="1">
    <w:name w:val="Основной текст Знак"/>
    <w:basedOn w:val="877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19" w:customStyle="1">
    <w:name w:val="Основной текст с отступом 2 Знак"/>
    <w:basedOn w:val="877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20" w:customStyle="1">
    <w:name w:val="Основной текст 3 Знак"/>
    <w:basedOn w:val="877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21" w:customStyle="1">
    <w:name w:val="Основной текст с отступом 3 Знак"/>
    <w:basedOn w:val="877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22" w:customStyle="1">
    <w:name w:val="Основной текст 2 Знак"/>
    <w:basedOn w:val="877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23">
    <w:name w:val="page number"/>
    <w:basedOn w:val="877"/>
    <w:qFormat/>
  </w:style>
  <w:style w:type="character" w:styleId="924" w:customStyle="1">
    <w:name w:val="Интернет-ссылка"/>
    <w:uiPriority w:val="99"/>
    <w:rPr>
      <w:color w:val="0000ff"/>
      <w:u w:val="single"/>
    </w:rPr>
  </w:style>
  <w:style w:type="character" w:styleId="925" w:customStyle="1">
    <w:name w:val="Текст выноски Знак"/>
    <w:basedOn w:val="877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926">
    <w:name w:val="annotation reference"/>
    <w:semiHidden/>
    <w:qFormat/>
    <w:rPr>
      <w:sz w:val="16"/>
      <w:szCs w:val="16"/>
    </w:rPr>
  </w:style>
  <w:style w:type="character" w:styleId="927" w:customStyle="1">
    <w:name w:val="Текст примечания Знак"/>
    <w:basedOn w:val="877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8" w:customStyle="1">
    <w:name w:val="Тема примечания Знак"/>
    <w:basedOn w:val="927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29">
    <w:name w:val="Strong"/>
    <w:uiPriority w:val="22"/>
    <w:qFormat/>
    <w:rPr>
      <w:b/>
      <w:bCs/>
    </w:rPr>
  </w:style>
  <w:style w:type="character" w:styleId="930" w:customStyle="1">
    <w:name w:val="Название Знак"/>
    <w:uiPriority w:val="10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31" w:customStyle="1">
    <w:name w:val="Подзаголовок Знак"/>
    <w:basedOn w:val="877"/>
    <w:uiPriority w:val="11"/>
    <w:qFormat/>
    <w:rPr>
      <w:rFonts w:ascii="Cambria" w:hAnsi="Cambria" w:eastAsia="Times New Roman" w:cs="Times New Roman"/>
      <w:i/>
      <w:iCs/>
      <w:color w:val="4f81bd"/>
      <w:spacing w:val="15"/>
      <w:sz w:val="24"/>
      <w:szCs w:val="24"/>
      <w:lang w:eastAsia="ru-RU"/>
    </w:rPr>
  </w:style>
  <w:style w:type="character" w:styleId="932">
    <w:name w:val="Emphasis"/>
    <w:uiPriority w:val="20"/>
    <w:qFormat/>
    <w:rPr>
      <w:i/>
      <w:iCs/>
    </w:rPr>
  </w:style>
  <w:style w:type="character" w:styleId="933" w:customStyle="1">
    <w:name w:val="Цитата 2 Знак"/>
    <w:basedOn w:val="877"/>
    <w:uiPriority w:val="29"/>
    <w:qFormat/>
    <w:rPr>
      <w:rFonts w:ascii="Calibri" w:hAnsi="Calibri" w:eastAsia="Calibri" w:cs="Times New Roman"/>
      <w:i/>
      <w:iCs/>
      <w:color w:val="000000"/>
      <w:sz w:val="20"/>
      <w:szCs w:val="20"/>
      <w:lang w:eastAsia="ru-RU"/>
    </w:rPr>
  </w:style>
  <w:style w:type="character" w:styleId="934" w:customStyle="1">
    <w:name w:val="Выделенная цитата Знак"/>
    <w:basedOn w:val="877"/>
    <w:uiPriority w:val="30"/>
    <w:qFormat/>
    <w:rPr>
      <w:rFonts w:ascii="Calibri" w:hAnsi="Calibri" w:eastAsia="Calibri" w:cs="Times New Roman"/>
      <w:b/>
      <w:bCs/>
      <w:i/>
      <w:iCs/>
      <w:color w:val="4f81bd"/>
      <w:sz w:val="20"/>
      <w:szCs w:val="20"/>
      <w:lang w:eastAsia="ru-RU"/>
    </w:rPr>
  </w:style>
  <w:style w:type="character" w:styleId="935">
    <w:name w:val="Subtle Emphasis"/>
    <w:uiPriority w:val="19"/>
    <w:qFormat/>
    <w:rPr>
      <w:i/>
      <w:iCs/>
      <w:color w:val="808080"/>
    </w:rPr>
  </w:style>
  <w:style w:type="character" w:styleId="936">
    <w:name w:val="Intense Emphasis"/>
    <w:uiPriority w:val="21"/>
    <w:qFormat/>
    <w:rPr>
      <w:b/>
      <w:bCs/>
      <w:i/>
      <w:iCs/>
      <w:color w:val="4f81bd"/>
    </w:rPr>
  </w:style>
  <w:style w:type="character" w:styleId="937">
    <w:name w:val="Subtle Reference"/>
    <w:uiPriority w:val="31"/>
    <w:qFormat/>
    <w:rPr>
      <w:smallCaps/>
      <w:color w:val="c0504d"/>
      <w:u w:val="single"/>
    </w:rPr>
  </w:style>
  <w:style w:type="character" w:styleId="93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39">
    <w:name w:val="Book Title"/>
    <w:uiPriority w:val="33"/>
    <w:qFormat/>
    <w:rPr>
      <w:b/>
      <w:bCs/>
      <w:smallCaps/>
      <w:spacing w:val="5"/>
    </w:rPr>
  </w:style>
  <w:style w:type="character" w:styleId="940" w:customStyle="1">
    <w:name w:val="Электронная подпись Знак"/>
    <w:basedOn w:val="877"/>
    <w:uiPriority w:val="99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941" w:customStyle="1">
    <w:name w:val="Подпункт Знак1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42" w:customStyle="1">
    <w:name w:val="blk"/>
    <w:qFormat/>
  </w:style>
  <w:style w:type="character" w:styleId="943" w:customStyle="1">
    <w:name w:val="Абзац списка Знак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944" w:customStyle="1">
    <w:name w:val="комментарий"/>
    <w:qFormat/>
    <w:rPr>
      <w:b/>
      <w:i/>
      <w:shd w:val="clear" w:color="auto" w:fill="ffff99"/>
    </w:rPr>
  </w:style>
  <w:style w:type="character" w:styleId="945" w:customStyle="1">
    <w:name w:val="Подподпункт Знак"/>
    <w:qFormat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946" w:customStyle="1">
    <w:name w:val="УРОВЕНЬ_Абзац_тип3 Знак"/>
    <w:qFormat/>
    <w:rPr>
      <w:rFonts w:ascii="Times New Roman" w:hAnsi="Times New Roman" w:eastAsia="Calibri" w:cs="Times New Roman"/>
      <w:sz w:val="26"/>
      <w:szCs w:val="28"/>
    </w:rPr>
  </w:style>
  <w:style w:type="character" w:styleId="947" w:customStyle="1">
    <w:name w:val="Текст концевой сноски Знак"/>
    <w:basedOn w:val="877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8" w:customStyle="1">
    <w:name w:val="Привязка концевой сноски"/>
    <w:rPr>
      <w:vertAlign w:val="superscript"/>
    </w:rPr>
  </w:style>
  <w:style w:type="character" w:styleId="949" w:customStyle="1">
    <w:name w:val="Endnote Characters"/>
    <w:basedOn w:val="877"/>
    <w:qFormat/>
    <w:rPr>
      <w:vertAlign w:val="superscript"/>
    </w:rPr>
  </w:style>
  <w:style w:type="character" w:styleId="950" w:customStyle="1">
    <w:name w:val="Пункт2 Знак"/>
    <w:qFormat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51" w:customStyle="1">
    <w:name w:val="УРОВЕНЬ_1. Знак"/>
    <w:qFormat/>
    <w:rPr>
      <w:rFonts w:ascii="Times New Roman" w:hAnsi="Times New Roman" w:eastAsia="Calibri" w:cs="Times New Roman"/>
      <w:caps/>
      <w:sz w:val="28"/>
      <w:szCs w:val="28"/>
    </w:rPr>
  </w:style>
  <w:style w:type="character" w:styleId="952" w:customStyle="1">
    <w:name w:val="Основной текст (2)_"/>
    <w:basedOn w:val="877"/>
    <w:qFormat/>
    <w:rPr>
      <w:shd w:val="clear" w:color="auto" w:fill="ffffff"/>
    </w:rPr>
  </w:style>
  <w:style w:type="character" w:styleId="953" w:customStyle="1">
    <w:name w:val="Основной текст (2) + Курсив"/>
    <w:basedOn w:val="952"/>
    <w:qFormat/>
    <w:rPr>
      <w:rFonts w:ascii="Times New Roman" w:hAnsi="Times New Roman" w:eastAsia="Times New Roman" w:cs="Times New Roman"/>
      <w:b w:val="0"/>
      <w:bCs w:val="0"/>
      <w:i/>
      <w:iCs/>
      <w:caps w:val="0"/>
      <w:smallCaps w:val="0"/>
      <w:strike w:val="0"/>
      <w:color w:val="000000"/>
      <w:spacing w:val="0"/>
      <w:szCs w:val="22"/>
      <w:u w:val="none"/>
      <w:shd w:val="clear" w:color="auto" w:fill="ffffff"/>
      <w:lang w:val="ru-RU" w:eastAsia="ru-RU" w:bidi="ru-RU"/>
    </w:rPr>
  </w:style>
  <w:style w:type="paragraph" w:styleId="954">
    <w:name w:val="Title"/>
    <w:basedOn w:val="867"/>
    <w:next w:val="955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955">
    <w:name w:val="Body Text"/>
    <w:basedOn w:val="867"/>
    <w:pPr>
      <w:spacing w:after="120"/>
    </w:pPr>
  </w:style>
  <w:style w:type="paragraph" w:styleId="956">
    <w:name w:val="List"/>
    <w:basedOn w:val="955"/>
    <w:rPr>
      <w:rFonts w:cs="Droid Sans Devanagari"/>
    </w:rPr>
  </w:style>
  <w:style w:type="paragraph" w:styleId="957">
    <w:name w:val="Caption"/>
    <w:basedOn w:val="867"/>
    <w:next w:val="867"/>
    <w:link w:val="89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958">
    <w:name w:val="index heading"/>
    <w:basedOn w:val="954"/>
  </w:style>
  <w:style w:type="paragraph" w:styleId="959">
    <w:name w:val="table of figures"/>
    <w:basedOn w:val="867"/>
    <w:next w:val="867"/>
    <w:uiPriority w:val="99"/>
    <w:unhideWhenUsed/>
    <w:qFormat/>
  </w:style>
  <w:style w:type="paragraph" w:styleId="960" w:customStyle="1">
    <w:name w:val="Название раздела инструкции"/>
    <w:basedOn w:val="867"/>
    <w:qFormat/>
    <w:pPr>
      <w:jc w:val="center"/>
    </w:pPr>
    <w:rPr>
      <w:b/>
    </w:rPr>
  </w:style>
  <w:style w:type="paragraph" w:styleId="961" w:customStyle="1">
    <w:name w:val="Раздел положения"/>
    <w:basedOn w:val="867"/>
    <w:qFormat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962" w:customStyle="1">
    <w:name w:val="Подраздел раздела положения"/>
    <w:basedOn w:val="867"/>
    <w:qFormat/>
    <w:pPr>
      <w:ind w:left="360" w:hanging="360"/>
      <w:jc w:val="both"/>
      <w:spacing w:before="80" w:after="80"/>
      <w:tabs>
        <w:tab w:val="num" w:pos="360" w:leader="none"/>
      </w:tabs>
    </w:pPr>
  </w:style>
  <w:style w:type="paragraph" w:styleId="963">
    <w:name w:val="footnote text"/>
    <w:basedOn w:val="867"/>
    <w:rPr>
      <w:sz w:val="20"/>
      <w:szCs w:val="20"/>
    </w:rPr>
  </w:style>
  <w:style w:type="paragraph" w:styleId="964" w:customStyle="1">
    <w:name w:val="Шапка 1"/>
    <w:basedOn w:val="867"/>
    <w:qFormat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65" w:customStyle="1">
    <w:name w:val="Шапка 2"/>
    <w:basedOn w:val="867"/>
    <w:qFormat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66" w:customStyle="1">
    <w:name w:val="Шапка 3"/>
    <w:basedOn w:val="867"/>
    <w:qFormat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67" w:customStyle="1">
    <w:name w:val="Название1"/>
    <w:basedOn w:val="867"/>
    <w:uiPriority w:val="10"/>
    <w:qFormat/>
    <w:pPr>
      <w:jc w:val="center"/>
    </w:pPr>
    <w:rPr>
      <w:szCs w:val="20"/>
    </w:rPr>
  </w:style>
  <w:style w:type="paragraph" w:styleId="968" w:customStyle="1">
    <w:name w:val="Колонтитул"/>
    <w:basedOn w:val="867"/>
    <w:qFormat/>
  </w:style>
  <w:style w:type="paragraph" w:styleId="969">
    <w:name w:val="Header"/>
    <w:basedOn w:val="867"/>
    <w:uiPriority w:val="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70">
    <w:name w:val="Body Text Indent"/>
    <w:basedOn w:val="867"/>
    <w:pPr>
      <w:ind w:left="360"/>
    </w:pPr>
    <w:rPr>
      <w:sz w:val="24"/>
      <w:szCs w:val="24"/>
    </w:rPr>
  </w:style>
  <w:style w:type="paragraph" w:styleId="971">
    <w:name w:val="Footer"/>
    <w:basedOn w:val="867"/>
    <w:uiPriority w:val="99"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72">
    <w:name w:val="Body Text Indent 2"/>
    <w:basedOn w:val="867"/>
    <w:qFormat/>
    <w:pPr>
      <w:ind w:left="283"/>
      <w:spacing w:after="120" w:line="480" w:lineRule="auto"/>
    </w:pPr>
  </w:style>
  <w:style w:type="paragraph" w:styleId="973">
    <w:name w:val="Body Text 3"/>
    <w:basedOn w:val="867"/>
    <w:qFormat/>
    <w:pPr>
      <w:spacing w:after="120"/>
    </w:pPr>
    <w:rPr>
      <w:sz w:val="16"/>
      <w:szCs w:val="16"/>
    </w:rPr>
  </w:style>
  <w:style w:type="paragraph" w:styleId="974">
    <w:name w:val="Body Text Indent 3"/>
    <w:basedOn w:val="867"/>
    <w:qFormat/>
    <w:pPr>
      <w:ind w:left="283"/>
      <w:spacing w:after="120"/>
    </w:pPr>
    <w:rPr>
      <w:sz w:val="16"/>
      <w:szCs w:val="16"/>
    </w:rPr>
  </w:style>
  <w:style w:type="paragraph" w:styleId="975">
    <w:name w:val="Body Text 2"/>
    <w:basedOn w:val="867"/>
    <w:qFormat/>
    <w:pPr>
      <w:spacing w:after="120" w:line="480" w:lineRule="auto"/>
    </w:pPr>
  </w:style>
  <w:style w:type="paragraph" w:styleId="976">
    <w:name w:val="Block Text"/>
    <w:basedOn w:val="867"/>
    <w:qFormat/>
    <w:pPr>
      <w:ind w:left="-567" w:right="-766"/>
      <w:jc w:val="center"/>
    </w:pPr>
    <w:rPr>
      <w:b/>
      <w:bCs/>
      <w:sz w:val="24"/>
      <w:szCs w:val="20"/>
    </w:rPr>
  </w:style>
  <w:style w:type="paragraph" w:styleId="977" w:customStyle="1">
    <w:name w:val="Подпункт"/>
    <w:basedOn w:val="867"/>
    <w:qFormat/>
    <w:pPr>
      <w:ind w:left="1134" w:hanging="1134"/>
      <w:jc w:val="both"/>
      <w:spacing w:line="360" w:lineRule="auto"/>
      <w:tabs>
        <w:tab w:val="left" w:pos="1134" w:leader="none"/>
      </w:tabs>
    </w:pPr>
    <w:rPr>
      <w:szCs w:val="20"/>
    </w:rPr>
  </w:style>
  <w:style w:type="paragraph" w:styleId="978" w:customStyle="1">
    <w:name w:val="Пункт2"/>
    <w:basedOn w:val="867"/>
    <w:qFormat/>
    <w:pPr>
      <w:ind w:left="1134" w:hanging="1134"/>
      <w:keepNext/>
      <w:spacing w:before="240" w:after="120"/>
      <w:tabs>
        <w:tab w:val="left" w:pos="1134" w:leader="none"/>
      </w:tabs>
      <w:outlineLvl w:val="2"/>
    </w:pPr>
    <w:rPr>
      <w:b/>
      <w:szCs w:val="20"/>
    </w:rPr>
  </w:style>
  <w:style w:type="paragraph" w:styleId="979">
    <w:name w:val="toc 1"/>
    <w:basedOn w:val="867"/>
    <w:next w:val="86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80">
    <w:name w:val="toc 3"/>
    <w:basedOn w:val="867"/>
    <w:next w:val="867"/>
    <w:uiPriority w:val="39"/>
    <w:pPr>
      <w:ind w:left="280"/>
    </w:pPr>
    <w:rPr>
      <w:rFonts w:cstheme="minorHAnsi"/>
      <w:sz w:val="20"/>
      <w:szCs w:val="20"/>
    </w:rPr>
  </w:style>
  <w:style w:type="paragraph" w:styleId="981" w:customStyle="1">
    <w:name w:val="Раздел регламента"/>
    <w:basedOn w:val="867"/>
    <w:qFormat/>
  </w:style>
  <w:style w:type="paragraph" w:styleId="982" w:customStyle="1">
    <w:name w:val="Приложение к регламенту"/>
    <w:basedOn w:val="867"/>
    <w:qFormat/>
    <w:pPr>
      <w:jc w:val="right"/>
    </w:pPr>
  </w:style>
  <w:style w:type="paragraph" w:styleId="983">
    <w:name w:val="toc 2"/>
    <w:basedOn w:val="867"/>
    <w:next w:val="867"/>
    <w:uiPriority w:val="39"/>
    <w:pPr>
      <w:spacing w:before="240"/>
    </w:pPr>
    <w:rPr>
      <w:rFonts w:cstheme="minorHAnsi"/>
      <w:bCs/>
      <w:sz w:val="20"/>
      <w:szCs w:val="20"/>
    </w:rPr>
  </w:style>
  <w:style w:type="paragraph" w:styleId="984">
    <w:name w:val="Balloon Text"/>
    <w:basedOn w:val="867"/>
    <w:semiHidden/>
    <w:qFormat/>
    <w:rPr>
      <w:rFonts w:ascii="Tahoma" w:hAnsi="Tahoma" w:cs="Tahoma"/>
      <w:sz w:val="16"/>
      <w:szCs w:val="16"/>
    </w:rPr>
  </w:style>
  <w:style w:type="paragraph" w:styleId="985">
    <w:name w:val="annotation text"/>
    <w:basedOn w:val="867"/>
    <w:qFormat/>
    <w:rPr>
      <w:sz w:val="20"/>
      <w:szCs w:val="20"/>
    </w:rPr>
  </w:style>
  <w:style w:type="paragraph" w:styleId="986">
    <w:name w:val="annotation subject"/>
    <w:basedOn w:val="985"/>
    <w:next w:val="985"/>
    <w:semiHidden/>
    <w:qFormat/>
    <w:rPr>
      <w:b/>
      <w:bCs/>
    </w:rPr>
  </w:style>
  <w:style w:type="paragraph" w:styleId="987" w:customStyle="1">
    <w:name w:val="Обычный (веб)1"/>
    <w:basedOn w:val="867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88">
    <w:name w:val="toc 9"/>
    <w:basedOn w:val="867"/>
    <w:next w:val="86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89">
    <w:name w:val="toc 5"/>
    <w:basedOn w:val="867"/>
    <w:next w:val="86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90">
    <w:name w:val="toc 4"/>
    <w:basedOn w:val="867"/>
    <w:next w:val="867"/>
    <w:uiPriority w:val="39"/>
    <w:pPr>
      <w:ind w:left="560"/>
      <w:tabs>
        <w:tab w:val="left" w:pos="1120" w:leader="none"/>
        <w:tab w:val="right" w:pos="9911" w:leader="none"/>
      </w:tabs>
    </w:pPr>
    <w:rPr>
      <w:rFonts w:cstheme="minorHAnsi"/>
      <w:sz w:val="20"/>
      <w:szCs w:val="20"/>
    </w:rPr>
  </w:style>
  <w:style w:type="paragraph" w:styleId="991" w:customStyle="1">
    <w:name w:val="Раздел положения 2"/>
    <w:basedOn w:val="867"/>
    <w:qFormat/>
    <w:pPr>
      <w:jc w:val="both"/>
      <w:pageBreakBefore/>
      <w:outlineLvl w:val="0"/>
    </w:pPr>
    <w:rPr>
      <w:b/>
    </w:rPr>
  </w:style>
  <w:style w:type="paragraph" w:styleId="992" w:customStyle="1">
    <w:name w:val="Знак Знак Знак Знак Знак Знак Знак Знак Знак"/>
    <w:basedOn w:val="867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93">
    <w:name w:val="No Spacing"/>
    <w:basedOn w:val="86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94">
    <w:name w:val="Subtitle"/>
    <w:basedOn w:val="867"/>
    <w:next w:val="867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995">
    <w:name w:val="List Paragraph"/>
    <w:basedOn w:val="867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96">
    <w:name w:val="Quote"/>
    <w:basedOn w:val="867"/>
    <w:next w:val="86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paragraph" w:styleId="997">
    <w:name w:val="Intense Quote"/>
    <w:basedOn w:val="867"/>
    <w:next w:val="867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998">
    <w:name w:val="TOC Heading"/>
    <w:basedOn w:val="868"/>
    <w:next w:val="867"/>
    <w:uiPriority w:val="39"/>
    <w:qFormat/>
    <w:pPr>
      <w:numPr>
        <w:ilvl w:val="0"/>
        <w:numId w:val="0"/>
      </w:num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99">
    <w:name w:val="E-mail Signature"/>
    <w:basedOn w:val="867"/>
    <w:uiPriority w:val="99"/>
    <w:unhideWhenUsed/>
    <w:qFormat/>
    <w:rPr>
      <w:rFonts w:eastAsia="Calibri"/>
      <w:sz w:val="24"/>
      <w:szCs w:val="24"/>
    </w:rPr>
  </w:style>
  <w:style w:type="paragraph" w:styleId="1000" w:customStyle="1">
    <w:name w:val="Знак"/>
    <w:basedOn w:val="867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1" w:customStyle="1">
    <w:name w:val="Нумерованный список ур3"/>
    <w:basedOn w:val="867"/>
    <w:qFormat/>
    <w:pPr>
      <w:numPr>
        <w:ilvl w:val="0"/>
        <w:numId w:val="3"/>
      </w:numPr>
      <w:jc w:val="both"/>
    </w:pPr>
    <w:rPr>
      <w:rFonts w:ascii="Garamond" w:hAnsi="Garamond"/>
      <w:sz w:val="24"/>
      <w:szCs w:val="20"/>
    </w:rPr>
  </w:style>
  <w:style w:type="paragraph" w:styleId="1002" w:customStyle="1">
    <w:name w:val="Список 31"/>
    <w:basedOn w:val="867"/>
    <w:pPr>
      <w:ind w:left="-207" w:hanging="360"/>
      <w:jc w:val="both"/>
      <w:spacing w:before="120"/>
      <w:tabs>
        <w:tab w:val="num" w:pos="0" w:leader="none"/>
      </w:tabs>
    </w:pPr>
    <w:rPr>
      <w:rFonts w:ascii="Garamond" w:hAnsi="Garamond"/>
      <w:sz w:val="24"/>
      <w:szCs w:val="20"/>
    </w:rPr>
  </w:style>
  <w:style w:type="paragraph" w:styleId="1003" w:customStyle="1">
    <w:name w:val="Нумерованный список ур2"/>
    <w:basedOn w:val="867"/>
    <w:qFormat/>
    <w:pPr>
      <w:ind w:left="-207" w:hanging="360"/>
      <w:jc w:val="both"/>
      <w:spacing w:before="120"/>
      <w:tabs>
        <w:tab w:val="num" w:pos="0" w:leader="none"/>
      </w:tabs>
    </w:pPr>
    <w:rPr>
      <w:rFonts w:ascii="Garamond" w:hAnsi="Garamond"/>
      <w:sz w:val="24"/>
      <w:szCs w:val="20"/>
    </w:rPr>
  </w:style>
  <w:style w:type="paragraph" w:styleId="1004">
    <w:name w:val="Revision"/>
    <w:uiPriority w:val="99"/>
    <w:semiHidden/>
    <w:qFormat/>
    <w:rPr>
      <w:rFonts w:ascii="Times New Roman" w:hAnsi="Times New Roman" w:cs="Times New Roman"/>
      <w:sz w:val="24"/>
      <w:szCs w:val="24"/>
      <w:lang w:eastAsia="ru-RU"/>
    </w:rPr>
  </w:style>
  <w:style w:type="paragraph" w:styleId="1005" w:customStyle="1">
    <w:name w:val="ConsPlusNormal"/>
    <w:qFormat/>
    <w:pPr>
      <w:ind w:firstLine="720"/>
      <w:widowControl w:val="off"/>
    </w:pPr>
    <w:rPr>
      <w:rFonts w:ascii="Arial" w:hAnsi="Arial" w:eastAsia="Times New Roman"/>
      <w:sz w:val="20"/>
      <w:szCs w:val="20"/>
      <w:lang w:eastAsia="ru-RU"/>
    </w:rPr>
  </w:style>
  <w:style w:type="paragraph" w:styleId="1006" w:customStyle="1">
    <w:name w:val="Знак Знак3 Знак Знак"/>
    <w:basedOn w:val="867"/>
    <w:qFormat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07" w:customStyle="1">
    <w:name w:val="Пункт"/>
    <w:basedOn w:val="867"/>
    <w:qFormat/>
    <w:pPr>
      <w:ind w:left="1134" w:right="800" w:hanging="1134"/>
      <w:jc w:val="both"/>
      <w:spacing w:before="120" w:line="360" w:lineRule="auto"/>
      <w:widowControl w:val="off"/>
      <w:tabs>
        <w:tab w:val="left" w:pos="1134" w:leader="none"/>
      </w:tabs>
    </w:pPr>
    <w:rPr>
      <w:rFonts w:ascii="Arial" w:hAnsi="Arial"/>
      <w:b/>
      <w:i/>
      <w:szCs w:val="20"/>
    </w:rPr>
  </w:style>
  <w:style w:type="paragraph" w:styleId="1008" w:customStyle="1">
    <w:name w:val="Абзац списка1"/>
    <w:basedOn w:val="867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09" w:customStyle="1">
    <w:name w:val="Таблица"/>
    <w:basedOn w:val="86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10" w:customStyle="1">
    <w:name w:val="Таблица шапка"/>
    <w:basedOn w:val="867"/>
    <w:qFormat/>
    <w:pPr>
      <w:ind w:left="57" w:right="57"/>
      <w:keepNext/>
      <w:spacing w:before="40" w:after="40"/>
    </w:pPr>
    <w:rPr>
      <w:sz w:val="22"/>
      <w:szCs w:val="26"/>
    </w:rPr>
  </w:style>
  <w:style w:type="paragraph" w:styleId="1011" w:customStyle="1">
    <w:name w:val="Подподпункт"/>
    <w:basedOn w:val="977"/>
    <w:qFormat/>
    <w:pPr>
      <w:ind w:left="5104" w:hanging="567"/>
      <w:spacing w:before="120" w:line="240" w:lineRule="auto"/>
      <w:tabs>
        <w:tab w:val="clear" w:pos="1134" w:leader="none"/>
        <w:tab w:val="left" w:pos="5104" w:leader="none"/>
      </w:tabs>
    </w:pPr>
    <w:rPr>
      <w:sz w:val="26"/>
      <w:szCs w:val="26"/>
    </w:rPr>
  </w:style>
  <w:style w:type="paragraph" w:styleId="1012" w:customStyle="1">
    <w:name w:val="УРОВЕНЬ_(а)"/>
    <w:basedOn w:val="995"/>
    <w:qFormat/>
    <w:p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13" w:customStyle="1">
    <w:name w:val="УРОВЕНЬ_-"/>
    <w:basedOn w:val="995"/>
    <w:qFormat/>
    <w:p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14" w:customStyle="1">
    <w:name w:val="УРОВЕНЬ_Абзац_тип2"/>
    <w:basedOn w:val="995"/>
    <w:qFormat/>
    <w:pPr>
      <w:numPr>
        <w:ilvl w:val="0"/>
        <w:numId w:val="5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15" w:customStyle="1">
    <w:name w:val="УРОВЕНЬ_Абзац_тип3"/>
    <w:basedOn w:val="995"/>
    <w:qFormat/>
    <w:pPr>
      <w:contextualSpacing w:val="0"/>
      <w:ind w:left="1134" w:hanging="1134"/>
      <w:jc w:val="both"/>
      <w:spacing w:before="120" w:line="360" w:lineRule="exact"/>
      <w:tabs>
        <w:tab w:val="num" w:pos="0" w:leader="none"/>
      </w:tabs>
    </w:pPr>
    <w:rPr>
      <w:sz w:val="26"/>
      <w:szCs w:val="28"/>
      <w:lang w:eastAsia="en-US"/>
    </w:rPr>
  </w:style>
  <w:style w:type="paragraph" w:styleId="1016" w:customStyle="1">
    <w:name w:val="УРОВЕНЬ_Подпись"/>
    <w:basedOn w:val="995"/>
    <w:qFormat/>
    <w:p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paragraph" w:styleId="1017" w:customStyle="1">
    <w:name w:val="Стиль Заголовок 1 + по ширине"/>
    <w:basedOn w:val="868"/>
    <w:qFormat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left" w:pos="567" w:leader="none"/>
      </w:tabs>
      <w:outlineLvl w:val="9"/>
    </w:pPr>
    <w:rPr>
      <w:rFonts w:ascii="Arial" w:hAnsi="Arial" w:eastAsia="Times New Roman"/>
      <w:bCs/>
      <w:sz w:val="40"/>
      <w:szCs w:val="20"/>
    </w:rPr>
  </w:style>
  <w:style w:type="paragraph" w:styleId="1018">
    <w:name w:val="endnote text"/>
    <w:basedOn w:val="867"/>
    <w:rPr>
      <w:sz w:val="20"/>
      <w:szCs w:val="20"/>
    </w:rPr>
  </w:style>
  <w:style w:type="paragraph" w:styleId="1019" w:customStyle="1">
    <w:name w:val="Заголовок 2 КВВ"/>
    <w:basedOn w:val="867"/>
    <w:qFormat/>
    <w:pPr>
      <w:jc w:val="both"/>
      <w:keepNext/>
      <w:spacing w:before="120" w:after="120"/>
      <w:outlineLvl w:val="0"/>
    </w:pPr>
    <w:rPr>
      <w:b/>
      <w:sz w:val="24"/>
      <w:szCs w:val="20"/>
    </w:rPr>
  </w:style>
  <w:style w:type="paragraph" w:styleId="1020" w:customStyle="1">
    <w:name w:val="Таблица текст"/>
    <w:basedOn w:val="867"/>
    <w:qFormat/>
    <w:pPr>
      <w:ind w:left="57" w:right="57"/>
      <w:spacing w:before="40" w:after="40"/>
    </w:pPr>
    <w:rPr>
      <w:sz w:val="24"/>
      <w:szCs w:val="26"/>
    </w:rPr>
  </w:style>
  <w:style w:type="paragraph" w:styleId="1021">
    <w:name w:val="Normal (Web)"/>
    <w:basedOn w:val="867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022" w:customStyle="1">
    <w:name w:val="УРОВЕНЬ_1."/>
    <w:basedOn w:val="995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paragraph" w:styleId="1023">
    <w:name w:val="toc 6"/>
    <w:basedOn w:val="867"/>
    <w:next w:val="86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24">
    <w:name w:val="toc 7"/>
    <w:basedOn w:val="867"/>
    <w:next w:val="86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25">
    <w:name w:val="toc 8"/>
    <w:basedOn w:val="867"/>
    <w:next w:val="86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1026">
    <w:name w:val="List Bullet 2"/>
    <w:basedOn w:val="867"/>
    <w:qFormat/>
    <w:pPr>
      <w:numPr>
        <w:ilvl w:val="0"/>
        <w:numId w:val="9"/>
      </w:numPr>
    </w:pPr>
    <w:rPr>
      <w:sz w:val="20"/>
      <w:szCs w:val="20"/>
    </w:rPr>
  </w:style>
  <w:style w:type="paragraph" w:styleId="1027" w:customStyle="1">
    <w:name w:val="Default"/>
    <w:qFormat/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028" w:customStyle="1">
    <w:name w:val="Основной текст (2)"/>
    <w:basedOn w:val="867"/>
    <w:qFormat/>
    <w:pPr>
      <w:ind w:hanging="1000"/>
      <w:jc w:val="both"/>
      <w:spacing w:before="360" w:after="360" w:line="0" w:lineRule="atLeast"/>
      <w:shd w:val="clear" w:color="auto" w:fill="ffffff"/>
      <w:widowControl w:val="off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29" w:customStyle="1">
    <w:name w:val="Знак Знак Знак Знак Знак Знак"/>
    <w:basedOn w:val="867"/>
    <w:next w:val="868"/>
    <w:qFormat/>
    <w:pPr>
      <w:jc w:val="both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030" w:customStyle="1">
    <w:name w:val="Содержимое врезки"/>
    <w:basedOn w:val="867"/>
    <w:qFormat/>
  </w:style>
  <w:style w:type="numbering" w:styleId="1031" w:customStyle="1">
    <w:name w:val="Стиль1"/>
    <w:uiPriority w:val="99"/>
    <w:qFormat/>
  </w:style>
  <w:style w:type="numbering" w:styleId="1032" w:customStyle="1">
    <w:name w:val="Стиль2"/>
    <w:uiPriority w:val="99"/>
    <w:qFormat/>
  </w:style>
  <w:style w:type="table" w:styleId="1033" w:customStyle="1">
    <w:name w:val="Table Grid Light"/>
    <w:basedOn w:val="878"/>
    <w:uiPriority w:val="59"/>
    <w:rPr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34">
    <w:name w:val="Plain Table 1"/>
    <w:basedOn w:val="878"/>
    <w:uiPriority w:val="59"/>
    <w:rPr>
      <w:sz w:val="20"/>
      <w:szCs w:val="20"/>
      <w:lang w:eastAsia="ru-RU"/>
    </w:r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35">
    <w:name w:val="Plain Table 2"/>
    <w:basedOn w:val="878"/>
    <w:uiPriority w:val="59"/>
    <w:rPr>
      <w:sz w:val="20"/>
      <w:szCs w:val="20"/>
      <w:lang w:eastAsia="ru-RU"/>
    </w:r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1036">
    <w:name w:val="Plain Table 3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37">
    <w:name w:val="Plain Table 4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Plain Table 5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39">
    <w:name w:val="Grid Table 1 Light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0" w:customStyle="1">
    <w:name w:val="Grid Table 1 Light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1" w:customStyle="1">
    <w:name w:val="Grid Table 1 Light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 w:customStyle="1">
    <w:name w:val="Grid Table 1 Light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 w:customStyle="1">
    <w:name w:val="Grid Table 1 Light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 w:customStyle="1">
    <w:name w:val="Grid Table 1 Light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 w:customStyle="1">
    <w:name w:val="Grid Table 1 Light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Grid Table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2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2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2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Grid Table 2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Grid Table 2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Grid Table 2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 w:customStyle="1">
    <w:name w:val="Grid Table 3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 w:customStyle="1">
    <w:name w:val="Grid Table 3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 w:customStyle="1">
    <w:name w:val="Grid Table 3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 w:customStyle="1">
    <w:name w:val="Grid Table 3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 w:customStyle="1">
    <w:name w:val="Grid Table 3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 w:customStyle="1">
    <w:name w:val="Grid Table 3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Grid Table 4"/>
    <w:basedOn w:val="878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61" w:customStyle="1">
    <w:name w:val="Grid Table 4 - Accent 1"/>
    <w:basedOn w:val="878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</w:tcBorders>
      </w:tcPr>
    </w:tblStylePr>
  </w:style>
  <w:style w:type="table" w:styleId="1062" w:customStyle="1">
    <w:name w:val="Grid Table 4 - Accent 2"/>
    <w:basedOn w:val="878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</w:tcBorders>
      </w:tcPr>
    </w:tblStylePr>
  </w:style>
  <w:style w:type="table" w:styleId="1063" w:customStyle="1">
    <w:name w:val="Grid Table 4 - Accent 3"/>
    <w:basedOn w:val="878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1064" w:customStyle="1">
    <w:name w:val="Grid Table 4 - Accent 4"/>
    <w:basedOn w:val="878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</w:tcBorders>
      </w:tcPr>
    </w:tblStylePr>
  </w:style>
  <w:style w:type="table" w:styleId="1065" w:customStyle="1">
    <w:name w:val="Grid Table 4 - Accent 5"/>
    <w:basedOn w:val="878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066" w:customStyle="1">
    <w:name w:val="Grid Table 4 - Accent 6"/>
    <w:basedOn w:val="878"/>
    <w:uiPriority w:val="59"/>
    <w:rPr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067">
    <w:name w:val="Grid Table 5 Dark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1068" w:customStyle="1">
    <w:name w:val="Grid Table 5 Dark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1069" w:customStyle="1">
    <w:name w:val="Grid Table 5 Dark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1070" w:customStyle="1">
    <w:name w:val="Grid Table 5 Dark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1071" w:customStyle="1">
    <w:name w:val="Grid Table 5 Dark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1072" w:customStyle="1">
    <w:name w:val="Grid Table 5 Dark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1073" w:customStyle="1">
    <w:name w:val="Grid Table 5 Dark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1074">
    <w:name w:val="Grid Table 6 Colorful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75" w:customStyle="1">
    <w:name w:val="Grid Table 6 Colorful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5B9BD5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076" w:customStyle="1">
    <w:name w:val="Grid Table 6 Colorful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077" w:customStyle="1">
    <w:name w:val="Grid Table 6 Colorful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078" w:customStyle="1">
    <w:name w:val="Grid Table 6 Colorful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079" w:customStyle="1">
    <w:name w:val="Grid Table 6 Colorful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80" w:customStyle="1">
    <w:name w:val="Grid Table 6 Colorful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081">
    <w:name w:val="Grid Table 7 Colorful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 w:customStyle="1">
    <w:name w:val="Grid Table 7 Colorful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 w:customStyle="1">
    <w:name w:val="Grid Table 7 Colorful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 w:customStyle="1">
    <w:name w:val="Grid Table 7 Colorful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 w:customStyle="1">
    <w:name w:val="Grid Table 7 Colorful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 w:customStyle="1">
    <w:name w:val="Grid Table 7 Colorful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 w:customStyle="1">
    <w:name w:val="Grid Table 7 Colorful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>
    <w:name w:val="List Table 1 Light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 w:customStyle="1">
    <w:name w:val="List Table 1 Light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 w:customStyle="1">
    <w:name w:val="List Table 1 Light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 w:customStyle="1">
    <w:name w:val="List Table 1 Light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 w:customStyle="1">
    <w:name w:val="List Table 1 Light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 w:customStyle="1">
    <w:name w:val="List Table 1 Light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List Table 1 Light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List Table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096" w:customStyle="1">
    <w:name w:val="List Table 2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</w:style>
  <w:style w:type="table" w:styleId="1097" w:customStyle="1">
    <w:name w:val="List Table 2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1098" w:customStyle="1">
    <w:name w:val="List Table 2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1099" w:customStyle="1">
    <w:name w:val="List Table 2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1100" w:customStyle="1">
    <w:name w:val="List Table 2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</w:style>
  <w:style w:type="table" w:styleId="1101" w:customStyle="1">
    <w:name w:val="List Table 2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1102">
    <w:name w:val="List Table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 w:customStyle="1">
    <w:name w:val="List Table 3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 w:customStyle="1">
    <w:name w:val="List Table 3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 w:customStyle="1">
    <w:name w:val="List Table 3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 w:customStyle="1">
    <w:name w:val="List Table 3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 w:customStyle="1">
    <w:name w:val="List Table 3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 w:customStyle="1">
    <w:name w:val="List Table 3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9">
    <w:name w:val="List Table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0" w:customStyle="1">
    <w:name w:val="List Table 4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1" w:customStyle="1">
    <w:name w:val="List Table 4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2" w:customStyle="1">
    <w:name w:val="List Table 4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3" w:customStyle="1">
    <w:name w:val="List Table 4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4" w:customStyle="1">
    <w:name w:val="List Table 4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5" w:customStyle="1">
    <w:name w:val="List Table 4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16">
    <w:name w:val="List Table 5 Dark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17" w:customStyle="1">
    <w:name w:val="List Table 5 Dark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18" w:customStyle="1">
    <w:name w:val="List Table 5 Dark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19" w:customStyle="1">
    <w:name w:val="List Table 5 Dark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0" w:customStyle="1">
    <w:name w:val="List Table 5 Dark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1" w:customStyle="1">
    <w:name w:val="List Table 5 Dark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4472C4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2" w:customStyle="1">
    <w:name w:val="List Table 5 Dark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1123">
    <w:name w:val="List Table 6 Colorful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1124" w:customStyle="1">
    <w:name w:val="List Table 6 Colorful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125" w:customStyle="1">
    <w:name w:val="List Table 6 Colorful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1126" w:customStyle="1">
    <w:name w:val="List Table 6 Colorful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1127" w:customStyle="1">
    <w:name w:val="List Table 6 Colorful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1128" w:customStyle="1">
    <w:name w:val="List Table 6 Colorful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4472C4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4472C4" w:themeColor="accent5" w:sz="4" w:space="0"/>
        </w:tcBorders>
      </w:tcPr>
    </w:tblStylePr>
  </w:style>
  <w:style w:type="table" w:styleId="1129" w:customStyle="1">
    <w:name w:val="List Table 6 Colorful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1130">
    <w:name w:val="List Table 7 Colorful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1" w:customStyle="1">
    <w:name w:val="List Table 7 Colorful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2" w:customStyle="1">
    <w:name w:val="List Table 7 Colorful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3" w:customStyle="1">
    <w:name w:val="List Table 7 Colorful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4" w:customStyle="1">
    <w:name w:val="List Table 7 Colorful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5" w:customStyle="1">
    <w:name w:val="List Table 7 Colorful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 w:customStyle="1">
    <w:name w:val="List Table 7 Colorful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7" w:customStyle="1">
    <w:name w:val="Lined - Accent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138" w:customStyle="1">
    <w:name w:val="Lined - Accent 1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1139" w:customStyle="1">
    <w:name w:val="Lined - Accent 2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140" w:customStyle="1">
    <w:name w:val="Lined - Accent 3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141" w:customStyle="1">
    <w:name w:val="Lined - Accent 4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142" w:customStyle="1">
    <w:name w:val="Lined - Accent 5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1143" w:customStyle="1">
    <w:name w:val="Lined - Accent 6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144" w:customStyle="1">
    <w:name w:val="Bordered &amp; Lined - Accent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1145" w:customStyle="1">
    <w:name w:val="Bordered &amp; Lined - Accent 1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1146" w:customStyle="1">
    <w:name w:val="Bordered &amp; Lined - Accent 2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1147" w:customStyle="1">
    <w:name w:val="Bordered &amp; Lined - Accent 3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1148" w:customStyle="1">
    <w:name w:val="Bordered &amp; Lined - Accent 4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1149" w:customStyle="1">
    <w:name w:val="Bordered &amp; Lined - Accent 5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1150" w:customStyle="1">
    <w:name w:val="Bordered &amp; Lined - Accent 6"/>
    <w:basedOn w:val="878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1151" w:customStyle="1">
    <w:name w:val="Bordered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1152" w:customStyle="1">
    <w:name w:val="Bordered - Accent 1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153" w:customStyle="1">
    <w:name w:val="Bordered - Accent 2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1154" w:customStyle="1">
    <w:name w:val="Bordered - Accent 3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1155" w:customStyle="1">
    <w:name w:val="Bordered - Accent 4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1156" w:customStyle="1">
    <w:name w:val="Bordered - Accent 5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5" w:sz="12" w:space="0"/>
        </w:tcBorders>
      </w:tcPr>
    </w:tblStylePr>
  </w:style>
  <w:style w:type="table" w:styleId="1157" w:customStyle="1">
    <w:name w:val="Bordered - Accent 6"/>
    <w:basedOn w:val="878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0AD47" w:themeColor="accent6" w:sz="12" w:space="0"/>
        </w:tcBorders>
      </w:tcPr>
    </w:tblStylePr>
  </w:style>
  <w:style w:type="table" w:styleId="1158">
    <w:name w:val="Table Grid"/>
    <w:basedOn w:val="878"/>
    <w:uiPriority w:val="39"/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59" w:customStyle="1">
    <w:name w:val="Сетка таблицы1"/>
    <w:basedOn w:val="878"/>
    <w:uiPriority w:val="39"/>
    <w:rPr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60" w:customStyle="1">
    <w:name w:val="По умолчанию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Helvetica" w:hAnsi="Arial Unicode MS" w:eastAsia="Arial Unicode MS" w:cs="Arial Unicode MS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header" Target="header8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 Александр Валерьевич</dc:creator>
  <dc:description/>
  <dc:language>ru-RU</dc:language>
  <cp:lastModifiedBy>evstratenko_av</cp:lastModifiedBy>
  <cp:revision>36</cp:revision>
  <dcterms:created xsi:type="dcterms:W3CDTF">2024-03-18T05:42:00Z</dcterms:created>
  <dcterms:modified xsi:type="dcterms:W3CDTF">2026-05-25T00:35:45Z</dcterms:modified>
</cp:coreProperties>
</file>